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80292407" w:displacedByCustomXml="next"/>
    <w:sdt>
      <w:sdtPr>
        <w:rPr>
          <w:rFonts w:asciiTheme="majorHAnsi" w:eastAsiaTheme="majorEastAsia" w:hAnsiTheme="majorHAnsi" w:cstheme="majorBidi"/>
          <w:sz w:val="72"/>
          <w:szCs w:val="72"/>
        </w:rPr>
        <w:id w:val="-1176882640"/>
        <w:docPartObj>
          <w:docPartGallery w:val="Cover Pages"/>
          <w:docPartUnique/>
        </w:docPartObj>
      </w:sdtPr>
      <w:sdtEndPr>
        <w:rPr>
          <w:rFonts w:asciiTheme="minorHAnsi" w:eastAsiaTheme="minorEastAsia" w:hAnsiTheme="minorHAnsi" w:cstheme="minorBidi"/>
          <w:sz w:val="24"/>
          <w:szCs w:val="22"/>
        </w:rPr>
      </w:sdtEndPr>
      <w:sdtContent>
        <w:p w:rsidR="000B4D50" w:rsidRDefault="00257101">
          <w:pPr>
            <w:pStyle w:val="NoSpacing"/>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0065" cy="80264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8026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0.95pt;height:63.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" o:allowincell="f" fillcolor="#63891f [3208]" strokecolor="#6076b4 [3204]">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544810"/>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481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0.3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" o:allowincell="f" strokecolor="#6076b4 [3204]">
                    <w10:wrap anchorx="margin" anchory="page"/>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44810"/>
                    <wp:effectExtent l="0" t="0" r="23495"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481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0.3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" o:allowincell="f" strokecolor="#6076b4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0065" cy="807720"/>
                    <wp:effectExtent l="0" t="0" r="11430" b="1524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8077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0.95pt;height:6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" o:allowincell="f" fillcolor="#63891f [3208]" strokecolor="#6076b4 [3204]">
                    <w10:wrap anchorx="page" anchory="margin"/>
                  </v:rect>
                </w:pict>
              </mc:Fallback>
            </mc:AlternateContent>
          </w:r>
        </w:p>
        <w:sdt>
          <w:sdtPr>
            <w:rPr>
              <w:rFonts w:asciiTheme="majorHAnsi" w:eastAsiaTheme="majorEastAsia" w:hAnsiTheme="majorHAnsi" w:cstheme="majorBidi"/>
              <w:sz w:val="72"/>
              <w:szCs w:val="72"/>
            </w:rPr>
            <w:alias w:val="Title"/>
            <w:id w:val="14700071"/>
            <w:placeholder>
              <w:docPart w:val="D3F7E0551B4C49E9AA38D4C1AB14D049"/>
            </w:placeholder>
            <w:dataBinding w:prefixMappings="xmlns:ns0='http://schemas.openxmlformats.org/package/2006/metadata/core-properties' xmlns:ns1='http://purl.org/dc/elements/1.1/'" w:xpath="/ns0:coreProperties[1]/ns1:title[1]" w:storeItemID="{6C3C8BC8-F283-45AE-878A-BAB7291924A1}"/>
            <w:text/>
          </w:sdtPr>
          <w:sdtContent>
            <w:p w:rsidR="000B4D50" w:rsidRDefault="000B4D50">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H &amp; R Block Strategic Plan</w:t>
              </w:r>
            </w:p>
          </w:sdtContent>
        </w:sdt>
        <w:sdt>
          <w:sdtPr>
            <w:rPr>
              <w:rFonts w:asciiTheme="majorHAnsi" w:eastAsiaTheme="majorEastAsia" w:hAnsiTheme="majorHAnsi" w:cstheme="majorBidi"/>
              <w:sz w:val="36"/>
              <w:szCs w:val="36"/>
            </w:rPr>
            <w:alias w:val="Subtitle"/>
            <w:id w:val="14700077"/>
            <w:placeholder>
              <w:docPart w:val="4EE09C8C54D0422C82F0400840E9CCCD"/>
            </w:placeholder>
            <w:dataBinding w:prefixMappings="xmlns:ns0='http://schemas.openxmlformats.org/package/2006/metadata/core-properties' xmlns:ns1='http://purl.org/dc/elements/1.1/'" w:xpath="/ns0:coreProperties[1]/ns1:subject[1]" w:storeItemID="{6C3C8BC8-F283-45AE-878A-BAB7291924A1}"/>
            <w:text/>
          </w:sdtPr>
          <w:sdtContent>
            <w:p w:rsidR="000B4D50" w:rsidRDefault="000B4D50">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3035 Alamo Office</w:t>
              </w:r>
            </w:p>
          </w:sdtContent>
        </w:sdt>
        <w:p w:rsidR="000B4D50" w:rsidRDefault="000B4D50">
          <w:pPr>
            <w:pStyle w:val="NoSpacing"/>
            <w:rPr>
              <w:rFonts w:asciiTheme="majorHAnsi" w:eastAsiaTheme="majorEastAsia" w:hAnsiTheme="majorHAnsi" w:cstheme="majorBidi"/>
              <w:sz w:val="36"/>
              <w:szCs w:val="36"/>
            </w:rPr>
          </w:pPr>
        </w:p>
        <w:p w:rsidR="000B4D50" w:rsidRDefault="000B4D50">
          <w:pPr>
            <w:pStyle w:val="NoSpacing"/>
            <w:rPr>
              <w:rFonts w:asciiTheme="majorHAnsi" w:eastAsiaTheme="majorEastAsia" w:hAnsiTheme="majorHAnsi" w:cstheme="majorBidi"/>
              <w:sz w:val="36"/>
              <w:szCs w:val="36"/>
            </w:rPr>
          </w:pPr>
        </w:p>
        <w:sdt>
          <w:sdtPr>
            <w:alias w:val="Date"/>
            <w:id w:val="14700083"/>
            <w:placeholder>
              <w:docPart w:val="EB2AD1186AA04CDC9EC06D3BC1B7CE90"/>
            </w:placeholder>
            <w:dataBinding w:prefixMappings="xmlns:ns0='http://schemas.microsoft.com/office/2006/coverPageProps'" w:xpath="/ns0:CoverPageProperties[1]/ns0:PublishDate[1]" w:storeItemID="{55AF091B-3C7A-41E3-B477-F2FDAA23CFDA}"/>
            <w:date w:fullDate="2010-12-16T00:00:00Z">
              <w:dateFormat w:val="M/d/yyyy"/>
              <w:lid w:val="en-US"/>
              <w:storeMappedDataAs w:val="dateTime"/>
              <w:calendar w:val="gregorian"/>
            </w:date>
          </w:sdtPr>
          <w:sdtContent>
            <w:p w:rsidR="000B4D50" w:rsidRDefault="008C4781">
              <w:pPr>
                <w:pStyle w:val="NoSpacing"/>
              </w:pPr>
              <w:r>
                <w:t>12/16/2010</w:t>
              </w:r>
            </w:p>
          </w:sdtContent>
        </w:sdt>
        <w:sdt>
          <w:sdtPr>
            <w:alias w:val="Company"/>
            <w:id w:val="14700089"/>
            <w:dataBinding w:prefixMappings="xmlns:ns0='http://schemas.openxmlformats.org/officeDocument/2006/extended-properties'" w:xpath="/ns0:Properties[1]/ns0:Company[1]" w:storeItemID="{6668398D-A668-4E3E-A5EB-62B293D839F1}"/>
            <w:text/>
          </w:sdtPr>
          <w:sdtContent>
            <w:p w:rsidR="000B4D50" w:rsidRDefault="008C4781">
              <w:pPr>
                <w:pStyle w:val="NoSpacing"/>
              </w:pPr>
              <w:r>
                <w:t>California State University-Maritime Academy</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0B4D50" w:rsidRDefault="00894003">
              <w:pPr>
                <w:pStyle w:val="NoSpacing"/>
              </w:pPr>
              <w:r>
                <w:t xml:space="preserve">By: </w:t>
              </w:r>
              <w:r w:rsidR="000B4D50">
                <w:t>Ed</w:t>
              </w:r>
              <w:r w:rsidR="008C4781">
                <w:t xml:space="preserve">ward </w:t>
              </w:r>
              <w:r>
                <w:t>Ford, Samir Mirani, Anthony Addison, and Jeffrey Petersen</w:t>
              </w:r>
            </w:p>
          </w:sdtContent>
        </w:sdt>
        <w:p w:rsidR="000B4D50" w:rsidRDefault="000B4D50"/>
        <w:p w:rsidR="000B4D50" w:rsidRDefault="000B4D50">
          <w:pPr>
            <w:spacing w:line="276" w:lineRule="auto"/>
            <w:rPr>
              <w:rFonts w:asciiTheme="majorHAnsi" w:eastAsiaTheme="majorEastAsia" w:hAnsiTheme="majorHAnsi" w:cstheme="majorBidi"/>
              <w:b/>
              <w:bCs/>
              <w:color w:val="FFFFFF" w:themeColor="background1"/>
              <w:sz w:val="28"/>
              <w:szCs w:val="28"/>
            </w:rPr>
          </w:pPr>
          <w:r>
            <w:br w:type="page"/>
          </w:r>
        </w:p>
      </w:sdtContent>
    </w:sdt>
    <w:sdt>
      <w:sdtPr>
        <w:rPr>
          <w:rFonts w:asciiTheme="minorHAnsi" w:eastAsiaTheme="minorEastAsia" w:hAnsiTheme="minorHAnsi" w:cstheme="minorBidi"/>
          <w:b w:val="0"/>
          <w:bCs w:val="0"/>
          <w:color w:val="auto"/>
          <w:sz w:val="22"/>
          <w:szCs w:val="22"/>
        </w:rPr>
        <w:id w:val="862796027"/>
        <w:docPartObj>
          <w:docPartGallery w:val="Table of Contents"/>
          <w:docPartUnique/>
        </w:docPartObj>
      </w:sdtPr>
      <w:sdtEndPr>
        <w:rPr>
          <w:noProof/>
          <w:sz w:val="24"/>
        </w:rPr>
      </w:sdtEndPr>
      <w:sdtContent>
        <w:p w:rsidR="009E0464" w:rsidRDefault="009E0464">
          <w:pPr>
            <w:pStyle w:val="TOCHeading"/>
          </w:pPr>
          <w:r>
            <w:t>Table of Co</w:t>
          </w:r>
          <w:bookmarkStart w:id="1" w:name="_GoBack"/>
          <w:bookmarkEnd w:id="1"/>
          <w:r>
            <w:t>ntents</w:t>
          </w:r>
        </w:p>
        <w:p w:rsidR="00AF106A" w:rsidRDefault="005F40D1">
          <w:pPr>
            <w:pStyle w:val="TOC1"/>
            <w:tabs>
              <w:tab w:val="right" w:leader="dot" w:pos="9350"/>
            </w:tabs>
            <w:rPr>
              <w:noProof/>
              <w:sz w:val="22"/>
            </w:rPr>
          </w:pPr>
          <w:r>
            <w:fldChar w:fldCharType="begin"/>
          </w:r>
          <w:r w:rsidR="009E0464">
            <w:instrText xml:space="preserve"> TOC \o "1-3" \h \z \u </w:instrText>
          </w:r>
          <w:r>
            <w:fldChar w:fldCharType="separate"/>
          </w:r>
          <w:hyperlink w:anchor="_Toc280307342" w:history="1">
            <w:r w:rsidR="00AF106A" w:rsidRPr="00214B8C">
              <w:rPr>
                <w:rStyle w:val="Hyperlink"/>
                <w:noProof/>
              </w:rPr>
              <w:t>Executive Summary</w:t>
            </w:r>
            <w:r w:rsidR="00AF106A">
              <w:rPr>
                <w:noProof/>
                <w:webHidden/>
              </w:rPr>
              <w:tab/>
            </w:r>
            <w:r w:rsidR="00AF106A">
              <w:rPr>
                <w:noProof/>
                <w:webHidden/>
              </w:rPr>
              <w:fldChar w:fldCharType="begin"/>
            </w:r>
            <w:r w:rsidR="00AF106A">
              <w:rPr>
                <w:noProof/>
                <w:webHidden/>
              </w:rPr>
              <w:instrText xml:space="preserve"> PAGEREF _Toc280307342 \h </w:instrText>
            </w:r>
            <w:r w:rsidR="00AF106A">
              <w:rPr>
                <w:noProof/>
                <w:webHidden/>
              </w:rPr>
            </w:r>
            <w:r w:rsidR="00AF106A">
              <w:rPr>
                <w:noProof/>
                <w:webHidden/>
              </w:rPr>
              <w:fldChar w:fldCharType="separate"/>
            </w:r>
            <w:r w:rsidR="00AF106A">
              <w:rPr>
                <w:noProof/>
                <w:webHidden/>
              </w:rPr>
              <w:t>4</w:t>
            </w:r>
            <w:r w:rsidR="00AF106A">
              <w:rPr>
                <w:noProof/>
                <w:webHidden/>
              </w:rPr>
              <w:fldChar w:fldCharType="end"/>
            </w:r>
          </w:hyperlink>
        </w:p>
        <w:p w:rsidR="00AF106A" w:rsidRDefault="00AF106A">
          <w:pPr>
            <w:pStyle w:val="TOC1"/>
            <w:tabs>
              <w:tab w:val="right" w:leader="dot" w:pos="9350"/>
            </w:tabs>
            <w:rPr>
              <w:noProof/>
              <w:sz w:val="22"/>
            </w:rPr>
          </w:pPr>
          <w:hyperlink w:anchor="_Toc280307343" w:history="1">
            <w:r w:rsidRPr="00214B8C">
              <w:rPr>
                <w:rStyle w:val="Hyperlink"/>
                <w:noProof/>
              </w:rPr>
              <w:t>Mission and Vision</w:t>
            </w:r>
            <w:r>
              <w:rPr>
                <w:noProof/>
                <w:webHidden/>
              </w:rPr>
              <w:tab/>
            </w:r>
            <w:r>
              <w:rPr>
                <w:noProof/>
                <w:webHidden/>
              </w:rPr>
              <w:fldChar w:fldCharType="begin"/>
            </w:r>
            <w:r>
              <w:rPr>
                <w:noProof/>
                <w:webHidden/>
              </w:rPr>
              <w:instrText xml:space="preserve"> PAGEREF _Toc280307343 \h </w:instrText>
            </w:r>
            <w:r>
              <w:rPr>
                <w:noProof/>
                <w:webHidden/>
              </w:rPr>
            </w:r>
            <w:r>
              <w:rPr>
                <w:noProof/>
                <w:webHidden/>
              </w:rPr>
              <w:fldChar w:fldCharType="separate"/>
            </w:r>
            <w:r>
              <w:rPr>
                <w:noProof/>
                <w:webHidden/>
              </w:rPr>
              <w:t>4</w:t>
            </w:r>
            <w:r>
              <w:rPr>
                <w:noProof/>
                <w:webHidden/>
              </w:rPr>
              <w:fldChar w:fldCharType="end"/>
            </w:r>
          </w:hyperlink>
        </w:p>
        <w:p w:rsidR="00AF106A" w:rsidRDefault="00AF106A">
          <w:pPr>
            <w:pStyle w:val="TOC1"/>
            <w:tabs>
              <w:tab w:val="right" w:leader="dot" w:pos="9350"/>
            </w:tabs>
            <w:rPr>
              <w:noProof/>
              <w:sz w:val="22"/>
            </w:rPr>
          </w:pPr>
          <w:hyperlink w:anchor="_Toc280307344" w:history="1">
            <w:r w:rsidRPr="00214B8C">
              <w:rPr>
                <w:rStyle w:val="Hyperlink"/>
                <w:noProof/>
              </w:rPr>
              <w:t>Strategy for H&amp;R Block</w:t>
            </w:r>
            <w:r>
              <w:rPr>
                <w:noProof/>
                <w:webHidden/>
              </w:rPr>
              <w:tab/>
            </w:r>
            <w:r>
              <w:rPr>
                <w:noProof/>
                <w:webHidden/>
              </w:rPr>
              <w:fldChar w:fldCharType="begin"/>
            </w:r>
            <w:r>
              <w:rPr>
                <w:noProof/>
                <w:webHidden/>
              </w:rPr>
              <w:instrText xml:space="preserve"> PAGEREF _Toc280307344 \h </w:instrText>
            </w:r>
            <w:r>
              <w:rPr>
                <w:noProof/>
                <w:webHidden/>
              </w:rPr>
            </w:r>
            <w:r>
              <w:rPr>
                <w:noProof/>
                <w:webHidden/>
              </w:rPr>
              <w:fldChar w:fldCharType="separate"/>
            </w:r>
            <w:r>
              <w:rPr>
                <w:noProof/>
                <w:webHidden/>
              </w:rPr>
              <w:t>4</w:t>
            </w:r>
            <w:r>
              <w:rPr>
                <w:noProof/>
                <w:webHidden/>
              </w:rPr>
              <w:fldChar w:fldCharType="end"/>
            </w:r>
          </w:hyperlink>
        </w:p>
        <w:p w:rsidR="00AF106A" w:rsidRDefault="00AF106A">
          <w:pPr>
            <w:pStyle w:val="TOC1"/>
            <w:tabs>
              <w:tab w:val="right" w:leader="dot" w:pos="9350"/>
            </w:tabs>
            <w:rPr>
              <w:noProof/>
              <w:sz w:val="22"/>
            </w:rPr>
          </w:pPr>
          <w:hyperlink w:anchor="_Toc280307345" w:history="1">
            <w:r w:rsidRPr="00214B8C">
              <w:rPr>
                <w:rStyle w:val="Hyperlink"/>
                <w:noProof/>
              </w:rPr>
              <w:t>External Factors</w:t>
            </w:r>
            <w:r>
              <w:rPr>
                <w:noProof/>
                <w:webHidden/>
              </w:rPr>
              <w:tab/>
            </w:r>
            <w:r>
              <w:rPr>
                <w:noProof/>
                <w:webHidden/>
              </w:rPr>
              <w:fldChar w:fldCharType="begin"/>
            </w:r>
            <w:r>
              <w:rPr>
                <w:noProof/>
                <w:webHidden/>
              </w:rPr>
              <w:instrText xml:space="preserve"> PAGEREF _Toc280307345 \h </w:instrText>
            </w:r>
            <w:r>
              <w:rPr>
                <w:noProof/>
                <w:webHidden/>
              </w:rPr>
            </w:r>
            <w:r>
              <w:rPr>
                <w:noProof/>
                <w:webHidden/>
              </w:rPr>
              <w:fldChar w:fldCharType="separate"/>
            </w:r>
            <w:r>
              <w:rPr>
                <w:noProof/>
                <w:webHidden/>
              </w:rPr>
              <w:t>5</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46" w:history="1">
            <w:r w:rsidRPr="00214B8C">
              <w:rPr>
                <w:rStyle w:val="Hyperlink"/>
                <w:noProof/>
              </w:rPr>
              <w:t>Potential Current Competitors in the Region</w:t>
            </w:r>
            <w:r>
              <w:rPr>
                <w:noProof/>
                <w:webHidden/>
              </w:rPr>
              <w:tab/>
            </w:r>
            <w:r>
              <w:rPr>
                <w:noProof/>
                <w:webHidden/>
              </w:rPr>
              <w:fldChar w:fldCharType="begin"/>
            </w:r>
            <w:r>
              <w:rPr>
                <w:noProof/>
                <w:webHidden/>
              </w:rPr>
              <w:instrText xml:space="preserve"> PAGEREF _Toc280307346 \h </w:instrText>
            </w:r>
            <w:r>
              <w:rPr>
                <w:noProof/>
                <w:webHidden/>
              </w:rPr>
            </w:r>
            <w:r>
              <w:rPr>
                <w:noProof/>
                <w:webHidden/>
              </w:rPr>
              <w:fldChar w:fldCharType="separate"/>
            </w:r>
            <w:r>
              <w:rPr>
                <w:noProof/>
                <w:webHidden/>
              </w:rPr>
              <w:t>5</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47" w:history="1">
            <w:r w:rsidRPr="00214B8C">
              <w:rPr>
                <w:rStyle w:val="Hyperlink"/>
                <w:noProof/>
              </w:rPr>
              <w:t>Educational Opportunities</w:t>
            </w:r>
            <w:r>
              <w:rPr>
                <w:noProof/>
                <w:webHidden/>
              </w:rPr>
              <w:tab/>
            </w:r>
            <w:r>
              <w:rPr>
                <w:noProof/>
                <w:webHidden/>
              </w:rPr>
              <w:fldChar w:fldCharType="begin"/>
            </w:r>
            <w:r>
              <w:rPr>
                <w:noProof/>
                <w:webHidden/>
              </w:rPr>
              <w:instrText xml:space="preserve"> PAGEREF _Toc280307347 \h </w:instrText>
            </w:r>
            <w:r>
              <w:rPr>
                <w:noProof/>
                <w:webHidden/>
              </w:rPr>
            </w:r>
            <w:r>
              <w:rPr>
                <w:noProof/>
                <w:webHidden/>
              </w:rPr>
              <w:fldChar w:fldCharType="separate"/>
            </w:r>
            <w:r>
              <w:rPr>
                <w:noProof/>
                <w:webHidden/>
              </w:rPr>
              <w:t>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48" w:history="1">
            <w:r w:rsidRPr="00214B8C">
              <w:rPr>
                <w:rStyle w:val="Hyperlink"/>
                <w:noProof/>
              </w:rPr>
              <w:t>Ethnic Population in Vacaville, CA</w:t>
            </w:r>
            <w:r>
              <w:rPr>
                <w:noProof/>
                <w:webHidden/>
              </w:rPr>
              <w:tab/>
            </w:r>
            <w:r>
              <w:rPr>
                <w:noProof/>
                <w:webHidden/>
              </w:rPr>
              <w:fldChar w:fldCharType="begin"/>
            </w:r>
            <w:r>
              <w:rPr>
                <w:noProof/>
                <w:webHidden/>
              </w:rPr>
              <w:instrText xml:space="preserve"> PAGEREF _Toc280307348 \h </w:instrText>
            </w:r>
            <w:r>
              <w:rPr>
                <w:noProof/>
                <w:webHidden/>
              </w:rPr>
            </w:r>
            <w:r>
              <w:rPr>
                <w:noProof/>
                <w:webHidden/>
              </w:rPr>
              <w:fldChar w:fldCharType="separate"/>
            </w:r>
            <w:r>
              <w:rPr>
                <w:noProof/>
                <w:webHidden/>
              </w:rPr>
              <w:t>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49" w:history="1">
            <w:r w:rsidRPr="00214B8C">
              <w:rPr>
                <w:rStyle w:val="Hyperlink"/>
                <w:noProof/>
              </w:rPr>
              <w:t>External Factor Evaluation Matrix</w:t>
            </w:r>
            <w:r>
              <w:rPr>
                <w:noProof/>
                <w:webHidden/>
              </w:rPr>
              <w:tab/>
            </w:r>
            <w:r>
              <w:rPr>
                <w:noProof/>
                <w:webHidden/>
              </w:rPr>
              <w:fldChar w:fldCharType="begin"/>
            </w:r>
            <w:r>
              <w:rPr>
                <w:noProof/>
                <w:webHidden/>
              </w:rPr>
              <w:instrText xml:space="preserve"> PAGEREF _Toc280307349 \h </w:instrText>
            </w:r>
            <w:r>
              <w:rPr>
                <w:noProof/>
                <w:webHidden/>
              </w:rPr>
            </w:r>
            <w:r>
              <w:rPr>
                <w:noProof/>
                <w:webHidden/>
              </w:rPr>
              <w:fldChar w:fldCharType="separate"/>
            </w:r>
            <w:r>
              <w:rPr>
                <w:noProof/>
                <w:webHidden/>
              </w:rPr>
              <w:t>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0" w:history="1">
            <w:r w:rsidRPr="00214B8C">
              <w:rPr>
                <w:rStyle w:val="Hyperlink"/>
                <w:noProof/>
              </w:rPr>
              <w:t>Diversity</w:t>
            </w:r>
            <w:r>
              <w:rPr>
                <w:noProof/>
                <w:webHidden/>
              </w:rPr>
              <w:tab/>
            </w:r>
            <w:r>
              <w:rPr>
                <w:noProof/>
                <w:webHidden/>
              </w:rPr>
              <w:fldChar w:fldCharType="begin"/>
            </w:r>
            <w:r>
              <w:rPr>
                <w:noProof/>
                <w:webHidden/>
              </w:rPr>
              <w:instrText xml:space="preserve"> PAGEREF _Toc280307350 \h </w:instrText>
            </w:r>
            <w:r>
              <w:rPr>
                <w:noProof/>
                <w:webHidden/>
              </w:rPr>
            </w:r>
            <w:r>
              <w:rPr>
                <w:noProof/>
                <w:webHidden/>
              </w:rPr>
              <w:fldChar w:fldCharType="separate"/>
            </w:r>
            <w:r>
              <w:rPr>
                <w:noProof/>
                <w:webHidden/>
              </w:rPr>
              <w:t>8</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1" w:history="1">
            <w:r w:rsidRPr="00214B8C">
              <w:rPr>
                <w:rStyle w:val="Hyperlink"/>
                <w:noProof/>
              </w:rPr>
              <w:t>Mean Income Level</w:t>
            </w:r>
            <w:r>
              <w:rPr>
                <w:noProof/>
                <w:webHidden/>
              </w:rPr>
              <w:tab/>
            </w:r>
            <w:r>
              <w:rPr>
                <w:noProof/>
                <w:webHidden/>
              </w:rPr>
              <w:fldChar w:fldCharType="begin"/>
            </w:r>
            <w:r>
              <w:rPr>
                <w:noProof/>
                <w:webHidden/>
              </w:rPr>
              <w:instrText xml:space="preserve"> PAGEREF _Toc280307351 \h </w:instrText>
            </w:r>
            <w:r>
              <w:rPr>
                <w:noProof/>
                <w:webHidden/>
              </w:rPr>
            </w:r>
            <w:r>
              <w:rPr>
                <w:noProof/>
                <w:webHidden/>
              </w:rPr>
              <w:fldChar w:fldCharType="separate"/>
            </w:r>
            <w:r>
              <w:rPr>
                <w:noProof/>
                <w:webHidden/>
              </w:rPr>
              <w:t>8</w:t>
            </w:r>
            <w:r>
              <w:rPr>
                <w:noProof/>
                <w:webHidden/>
              </w:rPr>
              <w:fldChar w:fldCharType="end"/>
            </w:r>
          </w:hyperlink>
        </w:p>
        <w:p w:rsidR="00AF106A" w:rsidRDefault="00AF106A">
          <w:pPr>
            <w:pStyle w:val="TOC1"/>
            <w:tabs>
              <w:tab w:val="right" w:leader="dot" w:pos="9350"/>
            </w:tabs>
            <w:rPr>
              <w:noProof/>
              <w:sz w:val="22"/>
            </w:rPr>
          </w:pPr>
          <w:hyperlink w:anchor="_Toc280307352" w:history="1">
            <w:r w:rsidRPr="00214B8C">
              <w:rPr>
                <w:rStyle w:val="Hyperlink"/>
                <w:noProof/>
              </w:rPr>
              <w:t>Internal Factor Evaluation Matrix</w:t>
            </w:r>
            <w:r>
              <w:rPr>
                <w:noProof/>
                <w:webHidden/>
              </w:rPr>
              <w:tab/>
            </w:r>
            <w:r>
              <w:rPr>
                <w:noProof/>
                <w:webHidden/>
              </w:rPr>
              <w:fldChar w:fldCharType="begin"/>
            </w:r>
            <w:r>
              <w:rPr>
                <w:noProof/>
                <w:webHidden/>
              </w:rPr>
              <w:instrText xml:space="preserve"> PAGEREF _Toc280307352 \h </w:instrText>
            </w:r>
            <w:r>
              <w:rPr>
                <w:noProof/>
                <w:webHidden/>
              </w:rPr>
            </w:r>
            <w:r>
              <w:rPr>
                <w:noProof/>
                <w:webHidden/>
              </w:rPr>
              <w:fldChar w:fldCharType="separate"/>
            </w:r>
            <w:r>
              <w:rPr>
                <w:noProof/>
                <w:webHidden/>
              </w:rPr>
              <w:t>9</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3" w:history="1">
            <w:r w:rsidRPr="00214B8C">
              <w:rPr>
                <w:rStyle w:val="Hyperlink"/>
                <w:noProof/>
              </w:rPr>
              <w:t>INTERNAL FACTORS EVALUATION MATRIX</w:t>
            </w:r>
            <w:r>
              <w:rPr>
                <w:noProof/>
                <w:webHidden/>
              </w:rPr>
              <w:tab/>
            </w:r>
            <w:r>
              <w:rPr>
                <w:noProof/>
                <w:webHidden/>
              </w:rPr>
              <w:fldChar w:fldCharType="begin"/>
            </w:r>
            <w:r>
              <w:rPr>
                <w:noProof/>
                <w:webHidden/>
              </w:rPr>
              <w:instrText xml:space="preserve"> PAGEREF _Toc280307353 \h </w:instrText>
            </w:r>
            <w:r>
              <w:rPr>
                <w:noProof/>
                <w:webHidden/>
              </w:rPr>
            </w:r>
            <w:r>
              <w:rPr>
                <w:noProof/>
                <w:webHidden/>
              </w:rPr>
              <w:fldChar w:fldCharType="separate"/>
            </w:r>
            <w:r>
              <w:rPr>
                <w:noProof/>
                <w:webHidden/>
              </w:rPr>
              <w:t>10</w:t>
            </w:r>
            <w:r>
              <w:rPr>
                <w:noProof/>
                <w:webHidden/>
              </w:rPr>
              <w:fldChar w:fldCharType="end"/>
            </w:r>
          </w:hyperlink>
        </w:p>
        <w:p w:rsidR="00AF106A" w:rsidRDefault="00AF106A">
          <w:pPr>
            <w:pStyle w:val="TOC1"/>
            <w:tabs>
              <w:tab w:val="right" w:leader="dot" w:pos="9350"/>
            </w:tabs>
            <w:rPr>
              <w:noProof/>
              <w:sz w:val="22"/>
            </w:rPr>
          </w:pPr>
          <w:hyperlink w:anchor="_Toc280307354" w:history="1">
            <w:r w:rsidRPr="00214B8C">
              <w:rPr>
                <w:rStyle w:val="Hyperlink"/>
                <w:noProof/>
              </w:rPr>
              <w:t>Strategies</w:t>
            </w:r>
            <w:r>
              <w:rPr>
                <w:noProof/>
                <w:webHidden/>
              </w:rPr>
              <w:tab/>
            </w:r>
            <w:r>
              <w:rPr>
                <w:noProof/>
                <w:webHidden/>
              </w:rPr>
              <w:fldChar w:fldCharType="begin"/>
            </w:r>
            <w:r>
              <w:rPr>
                <w:noProof/>
                <w:webHidden/>
              </w:rPr>
              <w:instrText xml:space="preserve"> PAGEREF _Toc280307354 \h </w:instrText>
            </w:r>
            <w:r>
              <w:rPr>
                <w:noProof/>
                <w:webHidden/>
              </w:rPr>
            </w:r>
            <w:r>
              <w:rPr>
                <w:noProof/>
                <w:webHidden/>
              </w:rPr>
              <w:fldChar w:fldCharType="separate"/>
            </w:r>
            <w:r>
              <w:rPr>
                <w:noProof/>
                <w:webHidden/>
              </w:rPr>
              <w:t>11</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5" w:history="1">
            <w:r w:rsidRPr="00214B8C">
              <w:rPr>
                <w:rStyle w:val="Hyperlink"/>
                <w:noProof/>
              </w:rPr>
              <w:t>Spanish Speaking Employees</w:t>
            </w:r>
            <w:r>
              <w:rPr>
                <w:noProof/>
                <w:webHidden/>
              </w:rPr>
              <w:tab/>
            </w:r>
            <w:r>
              <w:rPr>
                <w:noProof/>
                <w:webHidden/>
              </w:rPr>
              <w:fldChar w:fldCharType="begin"/>
            </w:r>
            <w:r>
              <w:rPr>
                <w:noProof/>
                <w:webHidden/>
              </w:rPr>
              <w:instrText xml:space="preserve"> PAGEREF _Toc280307355 \h </w:instrText>
            </w:r>
            <w:r>
              <w:rPr>
                <w:noProof/>
                <w:webHidden/>
              </w:rPr>
            </w:r>
            <w:r>
              <w:rPr>
                <w:noProof/>
                <w:webHidden/>
              </w:rPr>
              <w:fldChar w:fldCharType="separate"/>
            </w:r>
            <w:r>
              <w:rPr>
                <w:noProof/>
                <w:webHidden/>
              </w:rPr>
              <w:t>12</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6" w:history="1">
            <w:r w:rsidRPr="00214B8C">
              <w:rPr>
                <w:rStyle w:val="Hyperlink"/>
                <w:noProof/>
              </w:rPr>
              <w:t>Latino Blitz to Grass Roots Community Program</w:t>
            </w:r>
            <w:r>
              <w:rPr>
                <w:noProof/>
                <w:webHidden/>
              </w:rPr>
              <w:tab/>
            </w:r>
            <w:r>
              <w:rPr>
                <w:noProof/>
                <w:webHidden/>
              </w:rPr>
              <w:fldChar w:fldCharType="begin"/>
            </w:r>
            <w:r>
              <w:rPr>
                <w:noProof/>
                <w:webHidden/>
              </w:rPr>
              <w:instrText xml:space="preserve"> PAGEREF _Toc280307356 \h </w:instrText>
            </w:r>
            <w:r>
              <w:rPr>
                <w:noProof/>
                <w:webHidden/>
              </w:rPr>
            </w:r>
            <w:r>
              <w:rPr>
                <w:noProof/>
                <w:webHidden/>
              </w:rPr>
              <w:fldChar w:fldCharType="separate"/>
            </w:r>
            <w:r>
              <w:rPr>
                <w:noProof/>
                <w:webHidden/>
              </w:rPr>
              <w:t>12</w:t>
            </w:r>
            <w:r>
              <w:rPr>
                <w:noProof/>
                <w:webHidden/>
              </w:rPr>
              <w:fldChar w:fldCharType="end"/>
            </w:r>
          </w:hyperlink>
        </w:p>
        <w:p w:rsidR="00AF106A" w:rsidRDefault="00AF106A">
          <w:pPr>
            <w:pStyle w:val="TOC1"/>
            <w:tabs>
              <w:tab w:val="right" w:leader="dot" w:pos="9350"/>
            </w:tabs>
            <w:rPr>
              <w:noProof/>
              <w:sz w:val="22"/>
            </w:rPr>
          </w:pPr>
          <w:hyperlink w:anchor="_Toc280307357" w:history="1">
            <w:r w:rsidRPr="00214B8C">
              <w:rPr>
                <w:rStyle w:val="Hyperlink"/>
                <w:noProof/>
              </w:rPr>
              <w:t>Milestones</w:t>
            </w:r>
            <w:r>
              <w:rPr>
                <w:noProof/>
                <w:webHidden/>
              </w:rPr>
              <w:tab/>
            </w:r>
            <w:r>
              <w:rPr>
                <w:noProof/>
                <w:webHidden/>
              </w:rPr>
              <w:fldChar w:fldCharType="begin"/>
            </w:r>
            <w:r>
              <w:rPr>
                <w:noProof/>
                <w:webHidden/>
              </w:rPr>
              <w:instrText xml:space="preserve"> PAGEREF _Toc280307357 \h </w:instrText>
            </w:r>
            <w:r>
              <w:rPr>
                <w:noProof/>
                <w:webHidden/>
              </w:rPr>
            </w:r>
            <w:r>
              <w:rPr>
                <w:noProof/>
                <w:webHidden/>
              </w:rPr>
              <w:fldChar w:fldCharType="separate"/>
            </w:r>
            <w:r>
              <w:rPr>
                <w:noProof/>
                <w:webHidden/>
              </w:rPr>
              <w:t>13</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58" w:history="1">
            <w:r w:rsidRPr="00214B8C">
              <w:rPr>
                <w:rStyle w:val="Hyperlink"/>
                <w:noProof/>
              </w:rPr>
              <w:t>Demographic Tracking Program</w:t>
            </w:r>
            <w:r>
              <w:rPr>
                <w:noProof/>
                <w:webHidden/>
              </w:rPr>
              <w:tab/>
            </w:r>
            <w:r>
              <w:rPr>
                <w:noProof/>
                <w:webHidden/>
              </w:rPr>
              <w:fldChar w:fldCharType="begin"/>
            </w:r>
            <w:r>
              <w:rPr>
                <w:noProof/>
                <w:webHidden/>
              </w:rPr>
              <w:instrText xml:space="preserve"> PAGEREF _Toc280307358 \h </w:instrText>
            </w:r>
            <w:r>
              <w:rPr>
                <w:noProof/>
                <w:webHidden/>
              </w:rPr>
            </w:r>
            <w:r>
              <w:rPr>
                <w:noProof/>
                <w:webHidden/>
              </w:rPr>
              <w:fldChar w:fldCharType="separate"/>
            </w:r>
            <w:r>
              <w:rPr>
                <w:noProof/>
                <w:webHidden/>
              </w:rPr>
              <w:t>13</w:t>
            </w:r>
            <w:r>
              <w:rPr>
                <w:noProof/>
                <w:webHidden/>
              </w:rPr>
              <w:fldChar w:fldCharType="end"/>
            </w:r>
          </w:hyperlink>
        </w:p>
        <w:p w:rsidR="00AF106A" w:rsidRDefault="00AF106A">
          <w:pPr>
            <w:pStyle w:val="TOC3"/>
            <w:tabs>
              <w:tab w:val="right" w:leader="dot" w:pos="9350"/>
            </w:tabs>
            <w:rPr>
              <w:noProof/>
              <w:sz w:val="22"/>
            </w:rPr>
          </w:pPr>
          <w:hyperlink w:anchor="_Toc280307359" w:history="1">
            <w:r w:rsidRPr="00214B8C">
              <w:rPr>
                <w:rStyle w:val="Hyperlink"/>
                <w:noProof/>
              </w:rPr>
              <w:t>Milestone: Track the clients demographic information for 20% of services rendered</w:t>
            </w:r>
            <w:r>
              <w:rPr>
                <w:noProof/>
                <w:webHidden/>
              </w:rPr>
              <w:tab/>
            </w:r>
            <w:r>
              <w:rPr>
                <w:noProof/>
                <w:webHidden/>
              </w:rPr>
              <w:fldChar w:fldCharType="begin"/>
            </w:r>
            <w:r>
              <w:rPr>
                <w:noProof/>
                <w:webHidden/>
              </w:rPr>
              <w:instrText xml:space="preserve"> PAGEREF _Toc280307359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0" w:history="1">
            <w:r w:rsidRPr="00214B8C">
              <w:rPr>
                <w:rStyle w:val="Hyperlink"/>
                <w:noProof/>
              </w:rPr>
              <w:t>Multi-Lingual Software Program</w:t>
            </w:r>
            <w:r>
              <w:rPr>
                <w:noProof/>
                <w:webHidden/>
              </w:rPr>
              <w:tab/>
            </w:r>
            <w:r>
              <w:rPr>
                <w:noProof/>
                <w:webHidden/>
              </w:rPr>
              <w:fldChar w:fldCharType="begin"/>
            </w:r>
            <w:r>
              <w:rPr>
                <w:noProof/>
                <w:webHidden/>
              </w:rPr>
              <w:instrText xml:space="preserve"> PAGEREF _Toc280307360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3"/>
            <w:tabs>
              <w:tab w:val="right" w:leader="dot" w:pos="9350"/>
            </w:tabs>
            <w:rPr>
              <w:noProof/>
              <w:sz w:val="22"/>
            </w:rPr>
          </w:pPr>
          <w:hyperlink w:anchor="_Toc280307361" w:history="1">
            <w:r w:rsidRPr="00214B8C">
              <w:rPr>
                <w:rStyle w:val="Hyperlink"/>
                <w:noProof/>
              </w:rPr>
              <w:t>Milestone: Work with corporate headquarters in developing Language Packs for H&amp;R Block Tax Preparation software.</w:t>
            </w:r>
            <w:r>
              <w:rPr>
                <w:noProof/>
                <w:webHidden/>
              </w:rPr>
              <w:tab/>
            </w:r>
            <w:r>
              <w:rPr>
                <w:noProof/>
                <w:webHidden/>
              </w:rPr>
              <w:fldChar w:fldCharType="begin"/>
            </w:r>
            <w:r>
              <w:rPr>
                <w:noProof/>
                <w:webHidden/>
              </w:rPr>
              <w:instrText xml:space="preserve"> PAGEREF _Toc280307361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2" w:history="1">
            <w:r w:rsidRPr="00214B8C">
              <w:rPr>
                <w:rStyle w:val="Hyperlink"/>
                <w:noProof/>
              </w:rPr>
              <w:t>Bi-Lingual Employee Incentive Program - Milestone</w:t>
            </w:r>
            <w:r>
              <w:rPr>
                <w:noProof/>
                <w:webHidden/>
              </w:rPr>
              <w:tab/>
            </w:r>
            <w:r>
              <w:rPr>
                <w:noProof/>
                <w:webHidden/>
              </w:rPr>
              <w:fldChar w:fldCharType="begin"/>
            </w:r>
            <w:r>
              <w:rPr>
                <w:noProof/>
                <w:webHidden/>
              </w:rPr>
              <w:instrText xml:space="preserve"> PAGEREF _Toc280307362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3" w:history="1">
            <w:r w:rsidRPr="00214B8C">
              <w:rPr>
                <w:rStyle w:val="Hyperlink"/>
                <w:noProof/>
              </w:rPr>
              <w:t>Hispanic Regression</w:t>
            </w:r>
            <w:r>
              <w:rPr>
                <w:noProof/>
                <w:webHidden/>
              </w:rPr>
              <w:tab/>
            </w:r>
            <w:r>
              <w:rPr>
                <w:noProof/>
                <w:webHidden/>
              </w:rPr>
              <w:fldChar w:fldCharType="begin"/>
            </w:r>
            <w:r>
              <w:rPr>
                <w:noProof/>
                <w:webHidden/>
              </w:rPr>
              <w:instrText xml:space="preserve"> PAGEREF _Toc280307363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4" w:history="1">
            <w:r w:rsidRPr="00214B8C">
              <w:rPr>
                <w:rStyle w:val="Hyperlink"/>
                <w:noProof/>
              </w:rPr>
              <w:t>Population Regression</w:t>
            </w:r>
            <w:r>
              <w:rPr>
                <w:noProof/>
                <w:webHidden/>
              </w:rPr>
              <w:tab/>
            </w:r>
            <w:r>
              <w:rPr>
                <w:noProof/>
                <w:webHidden/>
              </w:rPr>
              <w:fldChar w:fldCharType="begin"/>
            </w:r>
            <w:r>
              <w:rPr>
                <w:noProof/>
                <w:webHidden/>
              </w:rPr>
              <w:instrText xml:space="preserve"> PAGEREF _Toc280307364 \h </w:instrText>
            </w:r>
            <w:r>
              <w:rPr>
                <w:noProof/>
                <w:webHidden/>
              </w:rPr>
            </w:r>
            <w:r>
              <w:rPr>
                <w:noProof/>
                <w:webHidden/>
              </w:rPr>
              <w:fldChar w:fldCharType="separate"/>
            </w:r>
            <w:r>
              <w:rPr>
                <w:noProof/>
                <w:webHidden/>
              </w:rPr>
              <w:t>14</w:t>
            </w:r>
            <w:r>
              <w:rPr>
                <w:noProof/>
                <w:webHidden/>
              </w:rPr>
              <w:fldChar w:fldCharType="end"/>
            </w:r>
          </w:hyperlink>
        </w:p>
        <w:p w:rsidR="00AF106A" w:rsidRDefault="00AF106A">
          <w:pPr>
            <w:pStyle w:val="TOC3"/>
            <w:tabs>
              <w:tab w:val="right" w:leader="dot" w:pos="9350"/>
            </w:tabs>
            <w:rPr>
              <w:noProof/>
              <w:sz w:val="22"/>
            </w:rPr>
          </w:pPr>
          <w:hyperlink w:anchor="_Toc280307365" w:history="1">
            <w:r w:rsidRPr="00214B8C">
              <w:rPr>
                <w:rStyle w:val="Hyperlink"/>
                <w:noProof/>
              </w:rPr>
              <w:t>Multi-Lingual Influence</w:t>
            </w:r>
            <w:r>
              <w:rPr>
                <w:noProof/>
                <w:webHidden/>
              </w:rPr>
              <w:tab/>
            </w:r>
            <w:r>
              <w:rPr>
                <w:noProof/>
                <w:webHidden/>
              </w:rPr>
              <w:fldChar w:fldCharType="begin"/>
            </w:r>
            <w:r>
              <w:rPr>
                <w:noProof/>
                <w:webHidden/>
              </w:rPr>
              <w:instrText xml:space="preserve"> PAGEREF _Toc280307365 \h </w:instrText>
            </w:r>
            <w:r>
              <w:rPr>
                <w:noProof/>
                <w:webHidden/>
              </w:rPr>
            </w:r>
            <w:r>
              <w:rPr>
                <w:noProof/>
                <w:webHidden/>
              </w:rPr>
              <w:fldChar w:fldCharType="separate"/>
            </w:r>
            <w:r>
              <w:rPr>
                <w:noProof/>
                <w:webHidden/>
              </w:rPr>
              <w:t>15</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6" w:history="1">
            <w:r w:rsidRPr="00214B8C">
              <w:rPr>
                <w:rStyle w:val="Hyperlink"/>
                <w:noProof/>
              </w:rPr>
              <w:t>Employee Acquisition and Retention Program (EARP)</w:t>
            </w:r>
            <w:r>
              <w:rPr>
                <w:noProof/>
                <w:webHidden/>
              </w:rPr>
              <w:tab/>
            </w:r>
            <w:r>
              <w:rPr>
                <w:noProof/>
                <w:webHidden/>
              </w:rPr>
              <w:fldChar w:fldCharType="begin"/>
            </w:r>
            <w:r>
              <w:rPr>
                <w:noProof/>
                <w:webHidden/>
              </w:rPr>
              <w:instrText xml:space="preserve"> PAGEREF _Toc280307366 \h </w:instrText>
            </w:r>
            <w:r>
              <w:rPr>
                <w:noProof/>
                <w:webHidden/>
              </w:rPr>
            </w:r>
            <w:r>
              <w:rPr>
                <w:noProof/>
                <w:webHidden/>
              </w:rPr>
              <w:fldChar w:fldCharType="separate"/>
            </w:r>
            <w:r>
              <w:rPr>
                <w:noProof/>
                <w:webHidden/>
              </w:rPr>
              <w:t>15</w:t>
            </w:r>
            <w:r>
              <w:rPr>
                <w:noProof/>
                <w:webHidden/>
              </w:rPr>
              <w:fldChar w:fldCharType="end"/>
            </w:r>
          </w:hyperlink>
        </w:p>
        <w:p w:rsidR="00AF106A" w:rsidRDefault="00AF106A">
          <w:pPr>
            <w:pStyle w:val="TOC3"/>
            <w:tabs>
              <w:tab w:val="right" w:leader="dot" w:pos="9350"/>
            </w:tabs>
            <w:rPr>
              <w:noProof/>
              <w:sz w:val="22"/>
            </w:rPr>
          </w:pPr>
          <w:hyperlink w:anchor="_Toc280307367" w:history="1">
            <w:r w:rsidRPr="00214B8C">
              <w:rPr>
                <w:rStyle w:val="Hyperlink"/>
                <w:noProof/>
              </w:rPr>
              <w:t>Milestone: Every store in district creates an EARP Marketing plan that specifically targets the demographic in their city.</w:t>
            </w:r>
            <w:r>
              <w:rPr>
                <w:noProof/>
                <w:webHidden/>
              </w:rPr>
              <w:tab/>
            </w:r>
            <w:r>
              <w:rPr>
                <w:noProof/>
                <w:webHidden/>
              </w:rPr>
              <w:fldChar w:fldCharType="begin"/>
            </w:r>
            <w:r>
              <w:rPr>
                <w:noProof/>
                <w:webHidden/>
              </w:rPr>
              <w:instrText xml:space="preserve"> PAGEREF _Toc280307367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68" w:history="1">
            <w:r w:rsidRPr="00214B8C">
              <w:rPr>
                <w:rStyle w:val="Hyperlink"/>
                <w:noProof/>
              </w:rPr>
              <w:t>3035 Alamo Office EARP</w:t>
            </w:r>
            <w:r>
              <w:rPr>
                <w:noProof/>
                <w:webHidden/>
              </w:rPr>
              <w:tab/>
            </w:r>
            <w:r>
              <w:rPr>
                <w:noProof/>
                <w:webHidden/>
              </w:rPr>
              <w:fldChar w:fldCharType="begin"/>
            </w:r>
            <w:r>
              <w:rPr>
                <w:noProof/>
                <w:webHidden/>
              </w:rPr>
              <w:instrText xml:space="preserve"> PAGEREF _Toc280307368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3"/>
            <w:tabs>
              <w:tab w:val="right" w:leader="dot" w:pos="9350"/>
            </w:tabs>
            <w:rPr>
              <w:noProof/>
              <w:sz w:val="22"/>
            </w:rPr>
          </w:pPr>
          <w:hyperlink w:anchor="_Toc280307369" w:history="1">
            <w:r w:rsidRPr="00214B8C">
              <w:rPr>
                <w:rStyle w:val="Hyperlink"/>
                <w:noProof/>
              </w:rPr>
              <w:t>Hispanic Grass Roots Promotion Program</w:t>
            </w:r>
            <w:r>
              <w:rPr>
                <w:noProof/>
                <w:webHidden/>
              </w:rPr>
              <w:tab/>
            </w:r>
            <w:r>
              <w:rPr>
                <w:noProof/>
                <w:webHidden/>
              </w:rPr>
              <w:fldChar w:fldCharType="begin"/>
            </w:r>
            <w:r>
              <w:rPr>
                <w:noProof/>
                <w:webHidden/>
              </w:rPr>
              <w:instrText xml:space="preserve"> PAGEREF _Toc280307369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3"/>
            <w:tabs>
              <w:tab w:val="right" w:leader="dot" w:pos="9350"/>
            </w:tabs>
            <w:rPr>
              <w:noProof/>
              <w:sz w:val="22"/>
            </w:rPr>
          </w:pPr>
          <w:hyperlink w:anchor="_Toc280307370" w:history="1">
            <w:r w:rsidRPr="00214B8C">
              <w:rPr>
                <w:rStyle w:val="Hyperlink"/>
                <w:noProof/>
              </w:rPr>
              <w:t>Milestones: Give $3,000 in Scholarships to Tax Preparations courses to Hispanics.</w:t>
            </w:r>
            <w:r>
              <w:rPr>
                <w:noProof/>
                <w:webHidden/>
              </w:rPr>
              <w:tab/>
            </w:r>
            <w:r>
              <w:rPr>
                <w:noProof/>
                <w:webHidden/>
              </w:rPr>
              <w:fldChar w:fldCharType="begin"/>
            </w:r>
            <w:r>
              <w:rPr>
                <w:noProof/>
                <w:webHidden/>
              </w:rPr>
              <w:instrText xml:space="preserve"> PAGEREF _Toc280307370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1" w:history="1">
            <w:r w:rsidRPr="00214B8C">
              <w:rPr>
                <w:rStyle w:val="Hyperlink"/>
                <w:noProof/>
              </w:rPr>
              <w:t>Retention Program</w:t>
            </w:r>
            <w:r>
              <w:rPr>
                <w:noProof/>
                <w:webHidden/>
              </w:rPr>
              <w:tab/>
            </w:r>
            <w:r>
              <w:rPr>
                <w:noProof/>
                <w:webHidden/>
              </w:rPr>
              <w:fldChar w:fldCharType="begin"/>
            </w:r>
            <w:r>
              <w:rPr>
                <w:noProof/>
                <w:webHidden/>
              </w:rPr>
              <w:instrText xml:space="preserve"> PAGEREF _Toc280307371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3"/>
            <w:tabs>
              <w:tab w:val="right" w:leader="dot" w:pos="9350"/>
            </w:tabs>
            <w:rPr>
              <w:noProof/>
              <w:sz w:val="22"/>
            </w:rPr>
          </w:pPr>
          <w:hyperlink w:anchor="_Toc280307372" w:history="1">
            <w:r w:rsidRPr="00214B8C">
              <w:rPr>
                <w:rStyle w:val="Hyperlink"/>
                <w:noProof/>
              </w:rPr>
              <w:t>Milestone:</w:t>
            </w:r>
            <w:r>
              <w:rPr>
                <w:noProof/>
                <w:webHidden/>
              </w:rPr>
              <w:tab/>
            </w:r>
            <w:r>
              <w:rPr>
                <w:noProof/>
                <w:webHidden/>
              </w:rPr>
              <w:fldChar w:fldCharType="begin"/>
            </w:r>
            <w:r>
              <w:rPr>
                <w:noProof/>
                <w:webHidden/>
              </w:rPr>
              <w:instrText xml:space="preserve"> PAGEREF _Toc280307372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1"/>
            <w:tabs>
              <w:tab w:val="right" w:leader="dot" w:pos="9350"/>
            </w:tabs>
            <w:rPr>
              <w:noProof/>
              <w:sz w:val="22"/>
            </w:rPr>
          </w:pPr>
          <w:hyperlink w:anchor="_Toc280307373" w:history="1">
            <w:r w:rsidRPr="00214B8C">
              <w:rPr>
                <w:rStyle w:val="Hyperlink"/>
                <w:noProof/>
              </w:rPr>
              <w:t>Marketing Plan</w:t>
            </w:r>
            <w:r>
              <w:rPr>
                <w:noProof/>
                <w:webHidden/>
              </w:rPr>
              <w:tab/>
            </w:r>
            <w:r>
              <w:rPr>
                <w:noProof/>
                <w:webHidden/>
              </w:rPr>
              <w:fldChar w:fldCharType="begin"/>
            </w:r>
            <w:r>
              <w:rPr>
                <w:noProof/>
                <w:webHidden/>
              </w:rPr>
              <w:instrText xml:space="preserve"> PAGEREF _Toc280307373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4" w:history="1">
            <w:r w:rsidRPr="00214B8C">
              <w:rPr>
                <w:rStyle w:val="Hyperlink"/>
                <w:noProof/>
              </w:rPr>
              <w:t>Objective</w:t>
            </w:r>
            <w:r>
              <w:rPr>
                <w:noProof/>
                <w:webHidden/>
              </w:rPr>
              <w:tab/>
            </w:r>
            <w:r>
              <w:rPr>
                <w:noProof/>
                <w:webHidden/>
              </w:rPr>
              <w:fldChar w:fldCharType="begin"/>
            </w:r>
            <w:r>
              <w:rPr>
                <w:noProof/>
                <w:webHidden/>
              </w:rPr>
              <w:instrText xml:space="preserve"> PAGEREF _Toc280307374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5" w:history="1">
            <w:r w:rsidRPr="00214B8C">
              <w:rPr>
                <w:rStyle w:val="Hyperlink"/>
                <w:noProof/>
              </w:rPr>
              <w:t>Goals</w:t>
            </w:r>
            <w:r>
              <w:rPr>
                <w:noProof/>
                <w:webHidden/>
              </w:rPr>
              <w:tab/>
            </w:r>
            <w:r>
              <w:rPr>
                <w:noProof/>
                <w:webHidden/>
              </w:rPr>
              <w:fldChar w:fldCharType="begin"/>
            </w:r>
            <w:r>
              <w:rPr>
                <w:noProof/>
                <w:webHidden/>
              </w:rPr>
              <w:instrText xml:space="preserve"> PAGEREF _Toc280307375 \h </w:instrText>
            </w:r>
            <w:r>
              <w:rPr>
                <w:noProof/>
                <w:webHidden/>
              </w:rPr>
            </w:r>
            <w:r>
              <w:rPr>
                <w:noProof/>
                <w:webHidden/>
              </w:rPr>
              <w:fldChar w:fldCharType="separate"/>
            </w:r>
            <w:r>
              <w:rPr>
                <w:noProof/>
                <w:webHidden/>
              </w:rPr>
              <w:t>16</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6" w:history="1">
            <w:r w:rsidRPr="00214B8C">
              <w:rPr>
                <w:rStyle w:val="Hyperlink"/>
                <w:noProof/>
              </w:rPr>
              <w:t>Target Market</w:t>
            </w:r>
            <w:r>
              <w:rPr>
                <w:noProof/>
                <w:webHidden/>
              </w:rPr>
              <w:tab/>
            </w:r>
            <w:r>
              <w:rPr>
                <w:noProof/>
                <w:webHidden/>
              </w:rPr>
              <w:fldChar w:fldCharType="begin"/>
            </w:r>
            <w:r>
              <w:rPr>
                <w:noProof/>
                <w:webHidden/>
              </w:rPr>
              <w:instrText xml:space="preserve"> PAGEREF _Toc280307376 \h </w:instrText>
            </w:r>
            <w:r>
              <w:rPr>
                <w:noProof/>
                <w:webHidden/>
              </w:rPr>
            </w:r>
            <w:r>
              <w:rPr>
                <w:noProof/>
                <w:webHidden/>
              </w:rPr>
              <w:fldChar w:fldCharType="separate"/>
            </w:r>
            <w:r>
              <w:rPr>
                <w:noProof/>
                <w:webHidden/>
              </w:rPr>
              <w:t>17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7" w:history="1">
            <w:r w:rsidRPr="00214B8C">
              <w:rPr>
                <w:rStyle w:val="Hyperlink"/>
                <w:noProof/>
              </w:rPr>
              <w:t>Positioning &amp; Unique Selling Point</w:t>
            </w:r>
            <w:r>
              <w:rPr>
                <w:noProof/>
                <w:webHidden/>
              </w:rPr>
              <w:tab/>
            </w:r>
            <w:r>
              <w:rPr>
                <w:noProof/>
                <w:webHidden/>
              </w:rPr>
              <w:fldChar w:fldCharType="begin"/>
            </w:r>
            <w:r>
              <w:rPr>
                <w:noProof/>
                <w:webHidden/>
              </w:rPr>
              <w:instrText xml:space="preserve"> PAGEREF _Toc280307377 \h </w:instrText>
            </w:r>
            <w:r>
              <w:rPr>
                <w:noProof/>
                <w:webHidden/>
              </w:rPr>
            </w:r>
            <w:r>
              <w:rPr>
                <w:noProof/>
                <w:webHidden/>
              </w:rPr>
              <w:fldChar w:fldCharType="separate"/>
            </w:r>
            <w:r>
              <w:rPr>
                <w:noProof/>
                <w:webHidden/>
              </w:rPr>
              <w:t>17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8" w:history="1">
            <w:r w:rsidRPr="00214B8C">
              <w:rPr>
                <w:rStyle w:val="Hyperlink"/>
                <w:noProof/>
              </w:rPr>
              <w:t>Core strategy</w:t>
            </w:r>
            <w:r>
              <w:rPr>
                <w:noProof/>
                <w:webHidden/>
              </w:rPr>
              <w:tab/>
            </w:r>
            <w:r>
              <w:rPr>
                <w:noProof/>
                <w:webHidden/>
              </w:rPr>
              <w:fldChar w:fldCharType="begin"/>
            </w:r>
            <w:r>
              <w:rPr>
                <w:noProof/>
                <w:webHidden/>
              </w:rPr>
              <w:instrText xml:space="preserve"> PAGEREF _Toc280307378 \h </w:instrText>
            </w:r>
            <w:r>
              <w:rPr>
                <w:noProof/>
                <w:webHidden/>
              </w:rPr>
            </w:r>
            <w:r>
              <w:rPr>
                <w:noProof/>
                <w:webHidden/>
              </w:rPr>
              <w:fldChar w:fldCharType="separate"/>
            </w:r>
            <w:r>
              <w:rPr>
                <w:noProof/>
                <w:webHidden/>
              </w:rPr>
              <w:t>17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79" w:history="1">
            <w:r w:rsidRPr="00214B8C">
              <w:rPr>
                <w:rStyle w:val="Hyperlink"/>
                <w:noProof/>
              </w:rPr>
              <w:t>Push v. Pull</w:t>
            </w:r>
            <w:r>
              <w:rPr>
                <w:noProof/>
                <w:webHidden/>
              </w:rPr>
              <w:tab/>
            </w:r>
            <w:r>
              <w:rPr>
                <w:noProof/>
                <w:webHidden/>
              </w:rPr>
              <w:fldChar w:fldCharType="begin"/>
            </w:r>
            <w:r>
              <w:rPr>
                <w:noProof/>
                <w:webHidden/>
              </w:rPr>
              <w:instrText xml:space="preserve"> PAGEREF _Toc280307379 \h </w:instrText>
            </w:r>
            <w:r>
              <w:rPr>
                <w:noProof/>
                <w:webHidden/>
              </w:rPr>
            </w:r>
            <w:r>
              <w:rPr>
                <w:noProof/>
                <w:webHidden/>
              </w:rPr>
              <w:fldChar w:fldCharType="separate"/>
            </w:r>
            <w:r>
              <w:rPr>
                <w:noProof/>
                <w:webHidden/>
              </w:rPr>
              <w:t>17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80" w:history="1">
            <w:r w:rsidRPr="00214B8C">
              <w:rPr>
                <w:rStyle w:val="Hyperlink"/>
                <w:noProof/>
              </w:rPr>
              <w:t>Loyalty v. Trial</w:t>
            </w:r>
            <w:r>
              <w:rPr>
                <w:noProof/>
                <w:webHidden/>
              </w:rPr>
              <w:tab/>
            </w:r>
            <w:r>
              <w:rPr>
                <w:noProof/>
                <w:webHidden/>
              </w:rPr>
              <w:fldChar w:fldCharType="begin"/>
            </w:r>
            <w:r>
              <w:rPr>
                <w:noProof/>
                <w:webHidden/>
              </w:rPr>
              <w:instrText xml:space="preserve"> PAGEREF _Toc280307380 \h </w:instrText>
            </w:r>
            <w:r>
              <w:rPr>
                <w:noProof/>
                <w:webHidden/>
              </w:rPr>
            </w:r>
            <w:r>
              <w:rPr>
                <w:noProof/>
                <w:webHidden/>
              </w:rPr>
              <w:fldChar w:fldCharType="separate"/>
            </w:r>
            <w:r>
              <w:rPr>
                <w:noProof/>
                <w:webHidden/>
              </w:rPr>
              <w:t>17</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81" w:history="1">
            <w:r w:rsidRPr="00214B8C">
              <w:rPr>
                <w:rStyle w:val="Hyperlink"/>
                <w:noProof/>
              </w:rPr>
              <w:t>Low-Order</w:t>
            </w:r>
            <w:r>
              <w:rPr>
                <w:noProof/>
                <w:webHidden/>
              </w:rPr>
              <w:tab/>
            </w:r>
            <w:r>
              <w:rPr>
                <w:noProof/>
                <w:webHidden/>
              </w:rPr>
              <w:fldChar w:fldCharType="begin"/>
            </w:r>
            <w:r>
              <w:rPr>
                <w:noProof/>
                <w:webHidden/>
              </w:rPr>
              <w:instrText xml:space="preserve"> PAGEREF _Toc280307381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3"/>
            <w:tabs>
              <w:tab w:val="right" w:leader="dot" w:pos="9350"/>
            </w:tabs>
            <w:rPr>
              <w:noProof/>
              <w:sz w:val="22"/>
            </w:rPr>
          </w:pPr>
          <w:hyperlink w:anchor="_Toc280307382" w:history="1">
            <w:r w:rsidRPr="00214B8C">
              <w:rPr>
                <w:rStyle w:val="Hyperlink"/>
                <w:noProof/>
              </w:rPr>
              <w:t>Targeting the Latino Market</w:t>
            </w:r>
            <w:r>
              <w:rPr>
                <w:noProof/>
                <w:webHidden/>
              </w:rPr>
              <w:tab/>
            </w:r>
            <w:r>
              <w:rPr>
                <w:noProof/>
                <w:webHidden/>
              </w:rPr>
              <w:fldChar w:fldCharType="begin"/>
            </w:r>
            <w:r>
              <w:rPr>
                <w:noProof/>
                <w:webHidden/>
              </w:rPr>
              <w:instrText xml:space="preserve"> PAGEREF _Toc280307382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83" w:history="1">
            <w:r w:rsidRPr="00214B8C">
              <w:rPr>
                <w:rStyle w:val="Hyperlink"/>
                <w:rFonts w:eastAsia="Times New Roman"/>
                <w:noProof/>
              </w:rPr>
              <w:t>The 4-P’s</w:t>
            </w:r>
            <w:r>
              <w:rPr>
                <w:noProof/>
                <w:webHidden/>
              </w:rPr>
              <w:tab/>
            </w:r>
            <w:r>
              <w:rPr>
                <w:noProof/>
                <w:webHidden/>
              </w:rPr>
              <w:fldChar w:fldCharType="begin"/>
            </w:r>
            <w:r>
              <w:rPr>
                <w:noProof/>
                <w:webHidden/>
              </w:rPr>
              <w:instrText xml:space="preserve"> PAGEREF _Toc280307383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3"/>
            <w:tabs>
              <w:tab w:val="right" w:leader="dot" w:pos="9350"/>
            </w:tabs>
            <w:rPr>
              <w:noProof/>
              <w:sz w:val="22"/>
            </w:rPr>
          </w:pPr>
          <w:hyperlink w:anchor="_Toc280307384" w:history="1">
            <w:r w:rsidRPr="00214B8C">
              <w:rPr>
                <w:rStyle w:val="Hyperlink"/>
                <w:noProof/>
              </w:rPr>
              <w:t>Product</w:t>
            </w:r>
            <w:r>
              <w:rPr>
                <w:noProof/>
                <w:webHidden/>
              </w:rPr>
              <w:tab/>
            </w:r>
            <w:r>
              <w:rPr>
                <w:noProof/>
                <w:webHidden/>
              </w:rPr>
              <w:fldChar w:fldCharType="begin"/>
            </w:r>
            <w:r>
              <w:rPr>
                <w:noProof/>
                <w:webHidden/>
              </w:rPr>
              <w:instrText xml:space="preserve"> PAGEREF _Toc280307384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3"/>
            <w:tabs>
              <w:tab w:val="right" w:leader="dot" w:pos="9350"/>
            </w:tabs>
            <w:rPr>
              <w:noProof/>
              <w:sz w:val="22"/>
            </w:rPr>
          </w:pPr>
          <w:hyperlink w:anchor="_Toc280307385" w:history="1">
            <w:r w:rsidRPr="00214B8C">
              <w:rPr>
                <w:rStyle w:val="Hyperlink"/>
                <w:noProof/>
              </w:rPr>
              <w:t>Price</w:t>
            </w:r>
            <w:r>
              <w:rPr>
                <w:noProof/>
                <w:webHidden/>
              </w:rPr>
              <w:tab/>
            </w:r>
            <w:r>
              <w:rPr>
                <w:noProof/>
                <w:webHidden/>
              </w:rPr>
              <w:fldChar w:fldCharType="begin"/>
            </w:r>
            <w:r>
              <w:rPr>
                <w:noProof/>
                <w:webHidden/>
              </w:rPr>
              <w:instrText xml:space="preserve"> PAGEREF _Toc280307385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3"/>
            <w:tabs>
              <w:tab w:val="right" w:leader="dot" w:pos="9350"/>
            </w:tabs>
            <w:rPr>
              <w:noProof/>
              <w:sz w:val="22"/>
            </w:rPr>
          </w:pPr>
          <w:hyperlink w:anchor="_Toc280307386" w:history="1">
            <w:r w:rsidRPr="00214B8C">
              <w:rPr>
                <w:rStyle w:val="Hyperlink"/>
                <w:noProof/>
              </w:rPr>
              <w:t>Place</w:t>
            </w:r>
            <w:r>
              <w:rPr>
                <w:noProof/>
                <w:webHidden/>
              </w:rPr>
              <w:tab/>
            </w:r>
            <w:r>
              <w:rPr>
                <w:noProof/>
                <w:webHidden/>
              </w:rPr>
              <w:fldChar w:fldCharType="begin"/>
            </w:r>
            <w:r>
              <w:rPr>
                <w:noProof/>
                <w:webHidden/>
              </w:rPr>
              <w:instrText xml:space="preserve"> PAGEREF _Toc280307386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3"/>
            <w:tabs>
              <w:tab w:val="right" w:leader="dot" w:pos="9350"/>
            </w:tabs>
            <w:rPr>
              <w:noProof/>
              <w:sz w:val="22"/>
            </w:rPr>
          </w:pPr>
          <w:hyperlink w:anchor="_Toc280307387" w:history="1">
            <w:r w:rsidRPr="00214B8C">
              <w:rPr>
                <w:rStyle w:val="Hyperlink"/>
                <w:noProof/>
              </w:rPr>
              <w:t>Promotion</w:t>
            </w:r>
            <w:r>
              <w:rPr>
                <w:noProof/>
                <w:webHidden/>
              </w:rPr>
              <w:tab/>
            </w:r>
            <w:r>
              <w:rPr>
                <w:noProof/>
                <w:webHidden/>
              </w:rPr>
              <w:fldChar w:fldCharType="begin"/>
            </w:r>
            <w:r>
              <w:rPr>
                <w:noProof/>
                <w:webHidden/>
              </w:rPr>
              <w:instrText xml:space="preserve"> PAGEREF _Toc280307387 \h </w:instrText>
            </w:r>
            <w:r>
              <w:rPr>
                <w:noProof/>
                <w:webHidden/>
              </w:rPr>
            </w:r>
            <w:r>
              <w:rPr>
                <w:noProof/>
                <w:webHidden/>
              </w:rPr>
              <w:fldChar w:fldCharType="separate"/>
            </w:r>
            <w:r>
              <w:rPr>
                <w:noProof/>
                <w:webHidden/>
              </w:rPr>
              <w:t>18</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88" w:history="1">
            <w:r w:rsidRPr="00214B8C">
              <w:rPr>
                <w:rStyle w:val="Hyperlink"/>
                <w:noProof/>
              </w:rPr>
              <w:t>The role of 4P’s</w:t>
            </w:r>
            <w:r>
              <w:rPr>
                <w:noProof/>
                <w:webHidden/>
              </w:rPr>
              <w:tab/>
            </w:r>
            <w:r>
              <w:rPr>
                <w:noProof/>
                <w:webHidden/>
              </w:rPr>
              <w:fldChar w:fldCharType="begin"/>
            </w:r>
            <w:r>
              <w:rPr>
                <w:noProof/>
                <w:webHidden/>
              </w:rPr>
              <w:instrText xml:space="preserve"> PAGEREF _Toc280307388 \h </w:instrText>
            </w:r>
            <w:r>
              <w:rPr>
                <w:noProof/>
                <w:webHidden/>
              </w:rPr>
            </w:r>
            <w:r>
              <w:rPr>
                <w:noProof/>
                <w:webHidden/>
              </w:rPr>
              <w:fldChar w:fldCharType="separate"/>
            </w:r>
            <w:r>
              <w:rPr>
                <w:noProof/>
                <w:webHidden/>
              </w:rPr>
              <w:t>19</w:t>
            </w:r>
            <w:r>
              <w:rPr>
                <w:noProof/>
                <w:webHidden/>
              </w:rPr>
              <w:fldChar w:fldCharType="end"/>
            </w:r>
          </w:hyperlink>
        </w:p>
        <w:p w:rsidR="00AF106A" w:rsidRDefault="00AF106A">
          <w:pPr>
            <w:pStyle w:val="TOC1"/>
            <w:tabs>
              <w:tab w:val="right" w:leader="dot" w:pos="9350"/>
            </w:tabs>
            <w:rPr>
              <w:noProof/>
              <w:sz w:val="22"/>
            </w:rPr>
          </w:pPr>
          <w:hyperlink w:anchor="_Toc280307389" w:history="1">
            <w:r w:rsidRPr="00214B8C">
              <w:rPr>
                <w:rStyle w:val="Hyperlink"/>
                <w:noProof/>
              </w:rPr>
              <w:t>Conclusion</w:t>
            </w:r>
            <w:r>
              <w:rPr>
                <w:noProof/>
                <w:webHidden/>
              </w:rPr>
              <w:tab/>
            </w:r>
            <w:r>
              <w:rPr>
                <w:noProof/>
                <w:webHidden/>
              </w:rPr>
              <w:fldChar w:fldCharType="begin"/>
            </w:r>
            <w:r>
              <w:rPr>
                <w:noProof/>
                <w:webHidden/>
              </w:rPr>
              <w:instrText xml:space="preserve"> PAGEREF _Toc280307389 \h </w:instrText>
            </w:r>
            <w:r>
              <w:rPr>
                <w:noProof/>
                <w:webHidden/>
              </w:rPr>
            </w:r>
            <w:r>
              <w:rPr>
                <w:noProof/>
                <w:webHidden/>
              </w:rPr>
              <w:fldChar w:fldCharType="separate"/>
            </w:r>
            <w:r>
              <w:rPr>
                <w:noProof/>
                <w:webHidden/>
              </w:rPr>
              <w:t>19</w:t>
            </w:r>
            <w:r>
              <w:rPr>
                <w:noProof/>
                <w:webHidden/>
              </w:rPr>
              <w:fldChar w:fldCharType="end"/>
            </w:r>
          </w:hyperlink>
        </w:p>
        <w:p w:rsidR="00AF106A" w:rsidRDefault="00AF106A">
          <w:pPr>
            <w:pStyle w:val="TOC1"/>
            <w:tabs>
              <w:tab w:val="right" w:leader="dot" w:pos="9350"/>
            </w:tabs>
            <w:rPr>
              <w:noProof/>
              <w:sz w:val="22"/>
            </w:rPr>
          </w:pPr>
          <w:hyperlink w:anchor="_Toc280307390" w:history="1">
            <w:r w:rsidRPr="00214B8C">
              <w:rPr>
                <w:rStyle w:val="Hyperlink"/>
                <w:noProof/>
              </w:rPr>
              <w:t>Appendix:</w:t>
            </w:r>
            <w:r>
              <w:rPr>
                <w:noProof/>
                <w:webHidden/>
              </w:rPr>
              <w:tab/>
            </w:r>
            <w:r>
              <w:rPr>
                <w:noProof/>
                <w:webHidden/>
              </w:rPr>
              <w:fldChar w:fldCharType="begin"/>
            </w:r>
            <w:r>
              <w:rPr>
                <w:noProof/>
                <w:webHidden/>
              </w:rPr>
              <w:instrText xml:space="preserve"> PAGEREF _Toc280307390 \h </w:instrText>
            </w:r>
            <w:r>
              <w:rPr>
                <w:noProof/>
                <w:webHidden/>
              </w:rPr>
            </w:r>
            <w:r>
              <w:rPr>
                <w:noProof/>
                <w:webHidden/>
              </w:rPr>
              <w:fldChar w:fldCharType="separate"/>
            </w:r>
            <w:r>
              <w:rPr>
                <w:noProof/>
                <w:webHidden/>
              </w:rPr>
              <w:t>20</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91" w:history="1">
            <w:r w:rsidRPr="00214B8C">
              <w:rPr>
                <w:rStyle w:val="Hyperlink"/>
                <w:noProof/>
              </w:rPr>
              <w:t>Vacaville Population</w:t>
            </w:r>
            <w:r>
              <w:rPr>
                <w:noProof/>
                <w:webHidden/>
              </w:rPr>
              <w:tab/>
            </w:r>
            <w:r>
              <w:rPr>
                <w:noProof/>
                <w:webHidden/>
              </w:rPr>
              <w:fldChar w:fldCharType="begin"/>
            </w:r>
            <w:r>
              <w:rPr>
                <w:noProof/>
                <w:webHidden/>
              </w:rPr>
              <w:instrText xml:space="preserve"> PAGEREF _Toc280307391 \h </w:instrText>
            </w:r>
            <w:r>
              <w:rPr>
                <w:noProof/>
                <w:webHidden/>
              </w:rPr>
            </w:r>
            <w:r>
              <w:rPr>
                <w:noProof/>
                <w:webHidden/>
              </w:rPr>
              <w:fldChar w:fldCharType="separate"/>
            </w:r>
            <w:r>
              <w:rPr>
                <w:noProof/>
                <w:webHidden/>
              </w:rPr>
              <w:t>20</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92" w:history="1">
            <w:r w:rsidRPr="00214B8C">
              <w:rPr>
                <w:rStyle w:val="Hyperlink"/>
                <w:rFonts w:cs="Arial"/>
                <w:noProof/>
              </w:rPr>
              <w:t>Vacaville (city), California</w:t>
            </w:r>
            <w:r>
              <w:rPr>
                <w:noProof/>
                <w:webHidden/>
              </w:rPr>
              <w:tab/>
            </w:r>
            <w:r>
              <w:rPr>
                <w:noProof/>
                <w:webHidden/>
              </w:rPr>
              <w:fldChar w:fldCharType="begin"/>
            </w:r>
            <w:r>
              <w:rPr>
                <w:noProof/>
                <w:webHidden/>
              </w:rPr>
              <w:instrText xml:space="preserve"> PAGEREF _Toc280307392 \h </w:instrText>
            </w:r>
            <w:r>
              <w:rPr>
                <w:noProof/>
                <w:webHidden/>
              </w:rPr>
            </w:r>
            <w:r>
              <w:rPr>
                <w:noProof/>
                <w:webHidden/>
              </w:rPr>
              <w:fldChar w:fldCharType="separate"/>
            </w:r>
            <w:r>
              <w:rPr>
                <w:noProof/>
                <w:webHidden/>
              </w:rPr>
              <w:t>20</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93" w:history="1">
            <w:r w:rsidRPr="00214B8C">
              <w:rPr>
                <w:rStyle w:val="Hyperlink"/>
                <w:noProof/>
              </w:rPr>
              <w:t>Education Statistics for Vacaville, CA</w:t>
            </w:r>
            <w:r>
              <w:rPr>
                <w:noProof/>
                <w:webHidden/>
              </w:rPr>
              <w:tab/>
            </w:r>
            <w:r>
              <w:rPr>
                <w:noProof/>
                <w:webHidden/>
              </w:rPr>
              <w:fldChar w:fldCharType="begin"/>
            </w:r>
            <w:r>
              <w:rPr>
                <w:noProof/>
                <w:webHidden/>
              </w:rPr>
              <w:instrText xml:space="preserve"> PAGEREF _Toc280307393 \h </w:instrText>
            </w:r>
            <w:r>
              <w:rPr>
                <w:noProof/>
                <w:webHidden/>
              </w:rPr>
            </w:r>
            <w:r>
              <w:rPr>
                <w:noProof/>
                <w:webHidden/>
              </w:rPr>
              <w:fldChar w:fldCharType="separate"/>
            </w:r>
            <w:r>
              <w:rPr>
                <w:noProof/>
                <w:webHidden/>
              </w:rPr>
              <w:t>21</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94" w:history="1">
            <w:r w:rsidRPr="00214B8C">
              <w:rPr>
                <w:rStyle w:val="Hyperlink"/>
                <w:noProof/>
              </w:rPr>
              <w:t>Vacaville Education-Table-1</w:t>
            </w:r>
            <w:r>
              <w:rPr>
                <w:noProof/>
                <w:webHidden/>
              </w:rPr>
              <w:tab/>
            </w:r>
            <w:r>
              <w:rPr>
                <w:noProof/>
                <w:webHidden/>
              </w:rPr>
              <w:fldChar w:fldCharType="begin"/>
            </w:r>
            <w:r>
              <w:rPr>
                <w:noProof/>
                <w:webHidden/>
              </w:rPr>
              <w:instrText xml:space="preserve"> PAGEREF _Toc280307394 \h </w:instrText>
            </w:r>
            <w:r>
              <w:rPr>
                <w:noProof/>
                <w:webHidden/>
              </w:rPr>
            </w:r>
            <w:r>
              <w:rPr>
                <w:noProof/>
                <w:webHidden/>
              </w:rPr>
              <w:fldChar w:fldCharType="separate"/>
            </w:r>
            <w:r>
              <w:rPr>
                <w:noProof/>
                <w:webHidden/>
              </w:rPr>
              <w:t>22</w:t>
            </w:r>
            <w:r>
              <w:rPr>
                <w:noProof/>
                <w:webHidden/>
              </w:rPr>
              <w:fldChar w:fldCharType="end"/>
            </w:r>
          </w:hyperlink>
        </w:p>
        <w:p w:rsidR="00AF106A" w:rsidRDefault="00AF106A">
          <w:pPr>
            <w:pStyle w:val="TOC2"/>
            <w:tabs>
              <w:tab w:val="right" w:leader="dot" w:pos="9350"/>
            </w:tabs>
            <w:rPr>
              <w:noProof/>
              <w:sz w:val="22"/>
              <w:szCs w:val="22"/>
              <w:lang w:bidi="ar-SA"/>
            </w:rPr>
          </w:pPr>
          <w:hyperlink w:anchor="_Toc280307395" w:history="1">
            <w:r w:rsidRPr="00214B8C">
              <w:rPr>
                <w:rStyle w:val="Hyperlink"/>
                <w:noProof/>
              </w:rPr>
              <w:t>H&amp;R Block Competition Comparison Table-2</w:t>
            </w:r>
            <w:r>
              <w:rPr>
                <w:noProof/>
                <w:webHidden/>
              </w:rPr>
              <w:tab/>
            </w:r>
            <w:r>
              <w:rPr>
                <w:noProof/>
                <w:webHidden/>
              </w:rPr>
              <w:fldChar w:fldCharType="begin"/>
            </w:r>
            <w:r>
              <w:rPr>
                <w:noProof/>
                <w:webHidden/>
              </w:rPr>
              <w:instrText xml:space="preserve"> PAGEREF _Toc280307395 \h </w:instrText>
            </w:r>
            <w:r>
              <w:rPr>
                <w:noProof/>
                <w:webHidden/>
              </w:rPr>
            </w:r>
            <w:r>
              <w:rPr>
                <w:noProof/>
                <w:webHidden/>
              </w:rPr>
              <w:fldChar w:fldCharType="separate"/>
            </w:r>
            <w:r>
              <w:rPr>
                <w:noProof/>
                <w:webHidden/>
              </w:rPr>
              <w:t>23</w:t>
            </w:r>
            <w:r>
              <w:rPr>
                <w:noProof/>
                <w:webHidden/>
              </w:rPr>
              <w:fldChar w:fldCharType="end"/>
            </w:r>
          </w:hyperlink>
        </w:p>
        <w:p w:rsidR="009E0464" w:rsidRDefault="005F40D1" w:rsidP="00366596">
          <w:r>
            <w:rPr>
              <w:b/>
              <w:bCs/>
              <w:noProof/>
            </w:rPr>
            <w:fldChar w:fldCharType="end"/>
          </w:r>
        </w:p>
      </w:sdtContent>
    </w:sdt>
    <w:p w:rsidR="00366596" w:rsidRDefault="00366596">
      <w:pPr>
        <w:spacing w:line="276" w:lineRule="auto"/>
        <w:rPr>
          <w:rFonts w:asciiTheme="majorHAnsi" w:eastAsiaTheme="majorEastAsia" w:hAnsiTheme="majorHAnsi" w:cstheme="majorBidi"/>
          <w:b/>
          <w:bCs/>
          <w:color w:val="42558C" w:themeColor="accent1" w:themeShade="BF"/>
          <w:sz w:val="28"/>
          <w:szCs w:val="28"/>
        </w:rPr>
      </w:pPr>
      <w:bookmarkStart w:id="2" w:name="_Toc280292408"/>
      <w:bookmarkEnd w:id="0"/>
      <w:r>
        <w:br w:type="page"/>
      </w:r>
    </w:p>
    <w:p w:rsidR="007C2D3F" w:rsidRDefault="007C2D3F" w:rsidP="008C0CAC">
      <w:pPr>
        <w:pStyle w:val="Heading1"/>
        <w:spacing w:before="0" w:line="240" w:lineRule="auto"/>
      </w:pPr>
      <w:bookmarkStart w:id="3" w:name="_Toc280307342"/>
      <w:r>
        <w:lastRenderedPageBreak/>
        <w:t>Executive Summary</w:t>
      </w:r>
      <w:bookmarkEnd w:id="2"/>
      <w:bookmarkEnd w:id="3"/>
    </w:p>
    <w:p w:rsidR="005B4EA3" w:rsidRDefault="00A43481" w:rsidP="00366596">
      <w:pPr>
        <w:ind w:firstLine="720"/>
        <w:rPr>
          <w:b/>
          <w:bCs/>
        </w:rPr>
      </w:pPr>
      <w:bookmarkStart w:id="4" w:name="_Toc280292409"/>
      <w:r w:rsidRPr="00A43481">
        <w:t>We would first like to thank H&amp;R Block, 3035 Alamo and its employee</w:t>
      </w:r>
      <w:r w:rsidR="005B4EA3">
        <w:t>s</w:t>
      </w:r>
      <w:r w:rsidRPr="00A43481">
        <w:t xml:space="preserve"> for giving us the opportunity to participate in a real world project.  We greatly appreciate being able to use our classroom knowledge in a practical situation.  </w:t>
      </w:r>
    </w:p>
    <w:p w:rsidR="00C447CD" w:rsidRDefault="00A43481" w:rsidP="00366596">
      <w:pPr>
        <w:ind w:firstLine="720"/>
        <w:rPr>
          <w:b/>
          <w:bCs/>
        </w:rPr>
      </w:pPr>
      <w:r w:rsidRPr="00A43481">
        <w:t>H&amp;R Block is attempting to expand its market share into the Hispanic community using an awarenes</w:t>
      </w:r>
      <w:r w:rsidR="005B4EA3">
        <w:t xml:space="preserve">s program called “Latino Blitz.” </w:t>
      </w:r>
      <w:r w:rsidRPr="00A43481">
        <w:t>This strategic report w</w:t>
      </w:r>
      <w:r w:rsidR="00C447CD">
        <w:t>ill outline several key areas of</w:t>
      </w:r>
      <w:r w:rsidRPr="00A43481">
        <w:t xml:space="preserve"> focus and </w:t>
      </w:r>
      <w:r w:rsidR="00C447CD">
        <w:t xml:space="preserve">to </w:t>
      </w:r>
      <w:r w:rsidRPr="00A43481">
        <w:t>provide suggestions for operating milestones.  The central focus of this plan is to create a process that that would increase the market penetration of office level demographics. By creating milestones that can be easily scaled onto each office nationwide. The purpose of these milestones is to accou</w:t>
      </w:r>
      <w:r w:rsidR="00C447CD">
        <w:t>nt for variable change, create</w:t>
      </w:r>
      <w:r w:rsidRPr="00A43481">
        <w:t xml:space="preserve"> goal</w:t>
      </w:r>
      <w:r w:rsidR="00C447CD">
        <w:t>s</w:t>
      </w:r>
      <w:r w:rsidRPr="00A43481">
        <w:t xml:space="preserve"> for performance</w:t>
      </w:r>
      <w:r w:rsidR="00C447CD">
        <w:t xml:space="preserve"> matrices</w:t>
      </w:r>
      <w:r w:rsidRPr="00A43481">
        <w:t xml:space="preserve"> and </w:t>
      </w:r>
      <w:r w:rsidR="00A90869">
        <w:t>to stimulate</w:t>
      </w:r>
      <w:r w:rsidRPr="00A43481">
        <w:t xml:space="preserve"> proper motivation</w:t>
      </w:r>
      <w:r w:rsidR="00A90869">
        <w:t xml:space="preserve"> while accounting for the possible need to adjust these goals due to external influences</w:t>
      </w:r>
      <w:r w:rsidRPr="00A43481">
        <w:t xml:space="preserve">.   </w:t>
      </w:r>
    </w:p>
    <w:p w:rsidR="005B4EA3" w:rsidRDefault="00A43481" w:rsidP="00366596">
      <w:pPr>
        <w:ind w:firstLine="720"/>
        <w:rPr>
          <w:b/>
          <w:bCs/>
        </w:rPr>
      </w:pPr>
      <w:r w:rsidRPr="00A43481">
        <w:t xml:space="preserve">The main strategy is to create bi-lingual incentives for </w:t>
      </w:r>
      <w:r w:rsidR="00C447CD" w:rsidRPr="00A43481">
        <w:t>employees</w:t>
      </w:r>
      <w:r w:rsidRPr="00A43481">
        <w:t xml:space="preserve"> while creating a per-office marketing plan for an alternative demographic. There is an economic need for procedures to be put in place to acquire customer demographics and multi-lingual software. Combining these elements together into a well-constructed marketing plan at every H &amp; R Block Office would fit well with its guerrilla style management.</w:t>
      </w:r>
    </w:p>
    <w:p w:rsidR="00D85907" w:rsidRDefault="007040F6" w:rsidP="008C0CAC">
      <w:pPr>
        <w:pStyle w:val="Heading1"/>
        <w:spacing w:before="0" w:line="240" w:lineRule="auto"/>
      </w:pPr>
      <w:bookmarkStart w:id="5" w:name="_Toc280292410"/>
      <w:bookmarkStart w:id="6" w:name="_Toc280307343"/>
      <w:bookmarkEnd w:id="4"/>
      <w:r>
        <w:t>Mission and Vision</w:t>
      </w:r>
      <w:bookmarkEnd w:id="5"/>
      <w:bookmarkEnd w:id="6"/>
    </w:p>
    <w:p w:rsidR="007040F6" w:rsidRPr="007040F6" w:rsidRDefault="007040F6" w:rsidP="00366596">
      <w:r>
        <w:tab/>
        <w:t xml:space="preserve">Our mission is to create a </w:t>
      </w:r>
      <w:r w:rsidR="0052193B">
        <w:t xml:space="preserve">number of </w:t>
      </w:r>
      <w:r>
        <w:t>program</w:t>
      </w:r>
      <w:r w:rsidR="0052193B">
        <w:t>s</w:t>
      </w:r>
      <w:r>
        <w:t xml:space="preserve"> that </w:t>
      </w:r>
      <w:r w:rsidR="0052193B">
        <w:t>strengthen</w:t>
      </w:r>
      <w:r>
        <w:t xml:space="preserve"> Latino </w:t>
      </w:r>
      <w:r w:rsidR="0052193B">
        <w:t>employee-</w:t>
      </w:r>
      <w:r>
        <w:t>client</w:t>
      </w:r>
      <w:r w:rsidR="00861383">
        <w:t xml:space="preserve"> retention</w:t>
      </w:r>
      <w:r w:rsidR="0052193B">
        <w:t xml:space="preserve">, </w:t>
      </w:r>
      <w:r w:rsidR="00294DBF">
        <w:t>community involvement</w:t>
      </w:r>
      <w:r w:rsidR="0052193B">
        <w:t xml:space="preserve"> in H&amp;R Block p</w:t>
      </w:r>
      <w:r w:rsidR="00861383">
        <w:t xml:space="preserve">rograms and </w:t>
      </w:r>
      <w:r w:rsidR="0052193B">
        <w:t>services.</w:t>
      </w:r>
      <w:r w:rsidR="00861383">
        <w:t xml:space="preserve">  Specifically, this mission applies to the retail office located at 3035 Alamo, Vacaville, Ca. </w:t>
      </w:r>
      <w:r w:rsidR="005C6EAF">
        <w:t xml:space="preserve">and to the surrounding Vacaville offices.  We expect through these programs to </w:t>
      </w:r>
      <w:r w:rsidR="007F2B04">
        <w:t xml:space="preserve">elicit 500 returns per Vacaville retail offices in the first year, equating to 10% of Vacaville’s Latino </w:t>
      </w:r>
      <w:r w:rsidR="00294DBF">
        <w:t>population. Our</w:t>
      </w:r>
      <w:r w:rsidR="002F6803">
        <w:t xml:space="preserve"> vision is to create this pilot program, and </w:t>
      </w:r>
      <w:r w:rsidR="000613F6">
        <w:t>we expect with</w:t>
      </w:r>
      <w:r w:rsidR="002F6803">
        <w:t xml:space="preserve"> its high success</w:t>
      </w:r>
      <w:r w:rsidR="000613F6">
        <w:t xml:space="preserve">, to </w:t>
      </w:r>
      <w:r w:rsidR="002F6803">
        <w:t xml:space="preserve">have a </w:t>
      </w:r>
      <w:r w:rsidR="000613F6">
        <w:t>full corporate version</w:t>
      </w:r>
      <w:r w:rsidR="002F6803">
        <w:t xml:space="preserve"> implemented </w:t>
      </w:r>
      <w:r w:rsidR="000613F6">
        <w:t>companywide in the next 3 to 5 years.</w:t>
      </w:r>
    </w:p>
    <w:p w:rsidR="007F1102" w:rsidRDefault="00FF3FCD" w:rsidP="008C0CAC">
      <w:pPr>
        <w:pStyle w:val="Heading1"/>
        <w:spacing w:before="0" w:line="240" w:lineRule="auto"/>
      </w:pPr>
      <w:bookmarkStart w:id="7" w:name="_Toc280292411"/>
      <w:bookmarkStart w:id="8" w:name="_Toc280307344"/>
      <w:r>
        <w:t>Strategy for H&amp;R Block</w:t>
      </w:r>
      <w:bookmarkEnd w:id="7"/>
      <w:bookmarkEnd w:id="8"/>
    </w:p>
    <w:p w:rsidR="0052698B" w:rsidRDefault="0052698B" w:rsidP="00366596">
      <w:r>
        <w:tab/>
      </w:r>
      <w:r w:rsidR="005E5853">
        <w:t>Create an incentive based program targeting Latinos</w:t>
      </w:r>
      <w:r w:rsidR="00FA7823">
        <w:t xml:space="preserve"> and Spanish speakers</w:t>
      </w:r>
      <w:r w:rsidR="005E5853">
        <w:t xml:space="preserve"> in Vacaville </w:t>
      </w:r>
      <w:r w:rsidR="00104BEC">
        <w:t xml:space="preserve">to become </w:t>
      </w:r>
      <w:r w:rsidR="005E5853">
        <w:t>tax preparers</w:t>
      </w:r>
      <w:r w:rsidR="00104BEC">
        <w:t xml:space="preserve"> for H&amp;R Block.  Leverage the </w:t>
      </w:r>
      <w:r w:rsidR="00294DBF">
        <w:t>Spanish speakers</w:t>
      </w:r>
      <w:r w:rsidR="00FA7823">
        <w:t xml:space="preserve"> and their cultural </w:t>
      </w:r>
      <w:r w:rsidR="00FA7823">
        <w:lastRenderedPageBreak/>
        <w:t xml:space="preserve">connections </w:t>
      </w:r>
      <w:r w:rsidR="00F94FD7">
        <w:t xml:space="preserve">in order to draw in a minimum of </w:t>
      </w:r>
      <w:r w:rsidR="00FA7823">
        <w:t>500 returns per Retail Office for the Vacaville area.</w:t>
      </w:r>
    </w:p>
    <w:p w:rsidR="00D46ED5" w:rsidRDefault="00B27466" w:rsidP="00366596">
      <w:pPr>
        <w:ind w:firstLine="720"/>
      </w:pPr>
      <w:r>
        <w:t>H&amp;R Block’s Latino Blitz program</w:t>
      </w:r>
      <w:r w:rsidR="00BA3D30">
        <w:t xml:space="preserve"> is one of the main </w:t>
      </w:r>
      <w:r w:rsidR="009E4713">
        <w:t>ideas being emphasized by the company</w:t>
      </w:r>
      <w:r w:rsidR="00825E8B">
        <w:t>.</w:t>
      </w:r>
      <w:r w:rsidR="00CD356B">
        <w:rPr>
          <w:rStyle w:val="FootnoteReference"/>
        </w:rPr>
        <w:footnoteReference w:id="1"/>
      </w:r>
      <w:r w:rsidR="00BA3D30">
        <w:t xml:space="preserve">  They have dedicated courses to instructing their office managers and employees in wa</w:t>
      </w:r>
      <w:r w:rsidR="00825E8B">
        <w:t>ys to build their client base.</w:t>
      </w:r>
      <w:r w:rsidR="00CD356B">
        <w:rPr>
          <w:rStyle w:val="FootnoteReference"/>
        </w:rPr>
        <w:footnoteReference w:id="2"/>
      </w:r>
      <w:r w:rsidR="009E4713">
        <w:t xml:space="preserve">  The Latino Blitz is designed t</w:t>
      </w:r>
      <w:r w:rsidR="003C036B">
        <w:t>o deve</w:t>
      </w:r>
      <w:r w:rsidR="009E4713">
        <w:t>l</w:t>
      </w:r>
      <w:r w:rsidR="003C036B">
        <w:t>o</w:t>
      </w:r>
      <w:r w:rsidR="009E4713">
        <w:t>p and implement strategies, to include grassroots efforts f</w:t>
      </w:r>
      <w:r w:rsidR="003C036B">
        <w:t>or adding Latinos to the compan</w:t>
      </w:r>
      <w:r w:rsidR="009E4713">
        <w:t xml:space="preserve">y’s client base.  </w:t>
      </w:r>
      <w:r w:rsidR="00D46ED5">
        <w:t xml:space="preserve">The </w:t>
      </w:r>
      <w:r w:rsidR="00BA3D30" w:rsidRPr="00BA3D30">
        <w:t>Exclusive Latino Client Building Blueprint</w:t>
      </w:r>
      <w:r w:rsidR="00D46ED5">
        <w:t xml:space="preserve"> is a tool for each Retail Office to create </w:t>
      </w:r>
      <w:r w:rsidR="00633679">
        <w:t>its</w:t>
      </w:r>
      <w:r w:rsidR="00D46ED5">
        <w:t xml:space="preserve"> own specific plan.</w:t>
      </w:r>
    </w:p>
    <w:p w:rsidR="00B8453E" w:rsidRDefault="00B8453E" w:rsidP="00B8453E">
      <w:pPr>
        <w:pStyle w:val="Heading1"/>
      </w:pPr>
      <w:bookmarkStart w:id="9" w:name="_Toc280307345"/>
      <w:r>
        <w:t>External Factors</w:t>
      </w:r>
      <w:bookmarkEnd w:id="9"/>
    </w:p>
    <w:p w:rsidR="00B8453E" w:rsidRPr="00B70829" w:rsidRDefault="00B8453E" w:rsidP="00366596">
      <w:pPr>
        <w:ind w:firstLine="360"/>
      </w:pPr>
      <w:r w:rsidRPr="00B70829">
        <w:t xml:space="preserve">While analyzing Vacaville, Ca. it is imperative that potential external factors are targeted, researched, and efficiently prepared for when coming up with a marketing plan to implement a strategy.  While deliberating on our actual strategy the team has come to the conclusion that </w:t>
      </w:r>
      <w:r w:rsidR="00294DBF" w:rsidRPr="00B70829">
        <w:t>the following</w:t>
      </w:r>
      <w:r w:rsidRPr="00B70829">
        <w:t xml:space="preserve"> categories will be the most influential external factors we must prepare: </w:t>
      </w:r>
    </w:p>
    <w:p w:rsidR="00B8453E" w:rsidRPr="00B70829" w:rsidRDefault="00B8453E" w:rsidP="00B8453E">
      <w:pPr>
        <w:pStyle w:val="ListParagraph"/>
        <w:numPr>
          <w:ilvl w:val="0"/>
          <w:numId w:val="10"/>
        </w:numPr>
        <w:spacing w:line="240" w:lineRule="auto"/>
      </w:pPr>
      <w:r w:rsidRPr="00B70829">
        <w:t xml:space="preserve">Competitors (including small “mom and pop” shops) in Vacaville, Ca. </w:t>
      </w:r>
    </w:p>
    <w:p w:rsidR="00B8453E" w:rsidRPr="00B70829" w:rsidRDefault="00B8453E" w:rsidP="00B8453E">
      <w:pPr>
        <w:pStyle w:val="ListParagraph"/>
        <w:numPr>
          <w:ilvl w:val="0"/>
          <w:numId w:val="10"/>
        </w:numPr>
        <w:spacing w:line="240" w:lineRule="auto"/>
      </w:pPr>
      <w:r w:rsidRPr="00B70829">
        <w:t xml:space="preserve">Percent of Latin individuals, both male and female, who are currently enrolled in higher education. </w:t>
      </w:r>
    </w:p>
    <w:p w:rsidR="00B8453E" w:rsidRPr="00B70829" w:rsidRDefault="00B8453E" w:rsidP="00B8453E">
      <w:pPr>
        <w:pStyle w:val="ListParagraph"/>
        <w:numPr>
          <w:ilvl w:val="0"/>
          <w:numId w:val="10"/>
        </w:numPr>
        <w:spacing w:line="240" w:lineRule="auto"/>
      </w:pPr>
      <w:r w:rsidRPr="00B70829">
        <w:t>Average population of Latin American individuals in Vacaville, Ca.</w:t>
      </w:r>
    </w:p>
    <w:p w:rsidR="00B8453E" w:rsidRDefault="00B8453E" w:rsidP="00B8453E">
      <w:pPr>
        <w:pStyle w:val="ListParagraph"/>
        <w:numPr>
          <w:ilvl w:val="0"/>
          <w:numId w:val="10"/>
        </w:numPr>
        <w:spacing w:line="240" w:lineRule="auto"/>
      </w:pPr>
      <w:r w:rsidRPr="00B70829">
        <w:t xml:space="preserve">Overall Mean income of Vacaville, Ca.  </w:t>
      </w:r>
    </w:p>
    <w:p w:rsidR="00B8453E" w:rsidRDefault="00B8453E" w:rsidP="00366596">
      <w:pPr>
        <w:ind w:firstLine="360"/>
      </w:pPr>
      <w:r w:rsidRPr="00B70829">
        <w:t xml:space="preserve">Online research on sites like the US Census Bureau and further research into the potential competitor’s base connected with Vacaville, Ca. gave our team the required information to strategize in advance.  Our team’s findings and information is conveyed in the following pages. </w:t>
      </w:r>
    </w:p>
    <w:p w:rsidR="00B8453E" w:rsidRPr="00B8453E" w:rsidRDefault="00B8453E" w:rsidP="00B8453E">
      <w:pPr>
        <w:pStyle w:val="Heading2"/>
      </w:pPr>
      <w:bookmarkStart w:id="10" w:name="_Toc280307346"/>
      <w:r w:rsidRPr="002A04EE">
        <w:t>Potential Current Competitors in the Region</w:t>
      </w:r>
      <w:bookmarkEnd w:id="10"/>
    </w:p>
    <w:p w:rsidR="00B8453E" w:rsidRPr="002A04EE" w:rsidRDefault="00B8453E" w:rsidP="00366596">
      <w:pPr>
        <w:ind w:firstLine="720"/>
      </w:pPr>
      <w:r w:rsidRPr="002A04EE">
        <w:t>Research has found that there is a substantial competi</w:t>
      </w:r>
      <w:r>
        <w:t>tive market competing with H&amp;R B</w:t>
      </w:r>
      <w:r w:rsidRPr="002A04EE">
        <w:t xml:space="preserve">lock in and around the city of Vacaville, Ca.  Our strategic marketing team has concluded that </w:t>
      </w:r>
      <w:r w:rsidRPr="002A04EE">
        <w:lastRenderedPageBreak/>
        <w:t>the following list provides the most influential competitors that provide the same and similar services to H&amp;R</w:t>
      </w:r>
      <w:r>
        <w:t xml:space="preserve"> Block</w:t>
      </w:r>
      <w:r w:rsidRPr="002A04EE">
        <w:t xml:space="preserve">: </w:t>
      </w:r>
    </w:p>
    <w:p w:rsidR="00B8453E" w:rsidRPr="002A04EE" w:rsidRDefault="00B8453E" w:rsidP="00366596">
      <w:pPr>
        <w:ind w:firstLine="720"/>
      </w:pPr>
      <w:r w:rsidRPr="002A04EE">
        <w:t xml:space="preserve">Upon investigation our team has realized that the Tax-Service market is highly competitive in the region of Vacaville, Ca.  One of the biggest obstacles that will have to be </w:t>
      </w:r>
      <w:r>
        <w:t>overcome</w:t>
      </w:r>
      <w:r w:rsidRPr="002A04EE">
        <w:t xml:space="preserve"> for is the competition from the smaller “mom and pop”</w:t>
      </w:r>
      <w:r>
        <w:t xml:space="preserve"> offices</w:t>
      </w:r>
      <w:r w:rsidRPr="002A04EE">
        <w:t xml:space="preserve">.  These type companies provide the Latin market an established culture of trust </w:t>
      </w:r>
      <w:r>
        <w:t xml:space="preserve">along </w:t>
      </w:r>
      <w:r w:rsidR="00294DBF">
        <w:t>with</w:t>
      </w:r>
      <w:r>
        <w:t xml:space="preserve"> stable entrenched relationship</w:t>
      </w:r>
      <w:r w:rsidRPr="002A04EE">
        <w:t>.</w:t>
      </w:r>
    </w:p>
    <w:p w:rsidR="00B8453E" w:rsidRPr="002A04EE" w:rsidRDefault="00B8453E" w:rsidP="00B8453E">
      <w:pPr>
        <w:pStyle w:val="Heading5"/>
      </w:pPr>
      <w:r>
        <w:t xml:space="preserve">(SEE </w:t>
      </w:r>
      <w:r w:rsidRPr="002A04EE">
        <w:t xml:space="preserve">TABLES </w:t>
      </w:r>
      <w:r>
        <w:t xml:space="preserve">ON COMPETITORS </w:t>
      </w:r>
      <w:r w:rsidRPr="002A04EE">
        <w:t>IN APPENDIX</w:t>
      </w:r>
      <w:r>
        <w:t xml:space="preserve">) </w:t>
      </w:r>
    </w:p>
    <w:p w:rsidR="00B8453E" w:rsidRPr="002A04EE" w:rsidRDefault="00B8453E" w:rsidP="00366596">
      <w:pPr>
        <w:ind w:firstLine="720"/>
      </w:pPr>
      <w:r>
        <w:t>The</w:t>
      </w:r>
      <w:r w:rsidRPr="002A04EE">
        <w:t xml:space="preserve"> tables </w:t>
      </w:r>
      <w:r>
        <w:t xml:space="preserve">in our appendix </w:t>
      </w:r>
      <w:r w:rsidRPr="002A04EE">
        <w:t xml:space="preserve">have helped our </w:t>
      </w:r>
      <w:r>
        <w:t xml:space="preserve">analysis of the competitors showing </w:t>
      </w:r>
      <w:r w:rsidRPr="002A04EE">
        <w:t xml:space="preserve">Intuit Tax Services Inc. is, and will continue to be, H&amp;R Block’s main competitor. Inuit has a tremendously larger market cap, gross margin, and also has the same amount of employees.  Additionally, Inuit Inc. has the largest net income when compared to the other major players in the Tax Service Market.  </w:t>
      </w:r>
    </w:p>
    <w:p w:rsidR="00B8453E" w:rsidRDefault="00B8453E" w:rsidP="00B8453E">
      <w:pPr>
        <w:pStyle w:val="Heading2"/>
      </w:pPr>
      <w:bookmarkStart w:id="11" w:name="_Toc280307347"/>
      <w:r>
        <w:t xml:space="preserve">Educational </w:t>
      </w:r>
      <w:r w:rsidR="00BB2FE8">
        <w:t>Opportunities</w:t>
      </w:r>
      <w:bookmarkEnd w:id="11"/>
    </w:p>
    <w:p w:rsidR="00B8453E" w:rsidRPr="00653068" w:rsidRDefault="00B8453E" w:rsidP="00366596">
      <w:r>
        <w:tab/>
      </w:r>
      <w:r w:rsidRPr="00653068">
        <w:t xml:space="preserve">After review of Vacaville’s education statistics </w:t>
      </w:r>
      <w:r>
        <w:t>we realize</w:t>
      </w:r>
      <w:r w:rsidRPr="00653068">
        <w:t xml:space="preserve"> that there is a tremendous potential opportunity to target Latin individuals who are close to graduating high school, and also who are currently e</w:t>
      </w:r>
      <w:r>
        <w:t>nrolled in higher education (Community</w:t>
      </w:r>
      <w:r w:rsidRPr="00653068">
        <w:t xml:space="preserve"> College and 4-year universities).   </w:t>
      </w:r>
    </w:p>
    <w:p w:rsidR="00B8453E" w:rsidRPr="00653068" w:rsidRDefault="00B8453E" w:rsidP="00366596">
      <w:r w:rsidRPr="00653068">
        <w:tab/>
        <w:t xml:space="preserve">There are also an estimated 11% of students in the Vacaville Unified school district who are currently in the ELL program. This indicates students are further learning the English Language.  We can conclude that this is because there are vast populations of students who are bi-lingual.  These students, both younger and older, are extremely important when planning </w:t>
      </w:r>
      <w:r>
        <w:t>our</w:t>
      </w:r>
      <w:r w:rsidRPr="00653068">
        <w:t xml:space="preserve"> strategy to target the Latin Market in Vacaville.   </w:t>
      </w:r>
    </w:p>
    <w:p w:rsidR="00B8453E" w:rsidRPr="00653068" w:rsidRDefault="00B8453E" w:rsidP="00366596">
      <w:r w:rsidRPr="00653068">
        <w:tab/>
        <w:t xml:space="preserve">Additionally, our team has agreed to </w:t>
      </w:r>
      <w:r>
        <w:t>target</w:t>
      </w:r>
      <w:r w:rsidRPr="00653068">
        <w:t xml:space="preserve"> younger </w:t>
      </w:r>
      <w:r>
        <w:t>generations of the Latin market.  This will lead to</w:t>
      </w:r>
      <w:r w:rsidRPr="00653068">
        <w:t xml:space="preserve"> the individuals</w:t>
      </w:r>
      <w:r>
        <w:t xml:space="preserve"> who interact with these children, such as family and others in the community</w:t>
      </w:r>
      <w:r w:rsidRPr="00653068">
        <w:t xml:space="preserve"> will be reached as </w:t>
      </w:r>
      <w:r w:rsidR="00294DBF" w:rsidRPr="00653068">
        <w:t>well</w:t>
      </w:r>
      <w:r w:rsidR="00294DBF">
        <w:t>. It</w:t>
      </w:r>
      <w:r>
        <w:t xml:space="preserve"> will be an example of the grassroots campaign spreading to </w:t>
      </w:r>
      <w:r w:rsidRPr="00653068">
        <w:t xml:space="preserve">friends, family, co-workers, and also </w:t>
      </w:r>
      <w:r>
        <w:t xml:space="preserve">any other </w:t>
      </w:r>
      <w:r w:rsidRPr="00653068">
        <w:t xml:space="preserve">potential relations that may arise (word-of-mouth). </w:t>
      </w:r>
    </w:p>
    <w:p w:rsidR="00B8453E" w:rsidRDefault="00B8453E" w:rsidP="00B8453E">
      <w:pPr>
        <w:pStyle w:val="Heading2"/>
      </w:pPr>
      <w:bookmarkStart w:id="12" w:name="_Toc280307348"/>
      <w:r>
        <w:lastRenderedPageBreak/>
        <w:t>Ethnic Population in Vacaville, CA</w:t>
      </w:r>
      <w:bookmarkEnd w:id="12"/>
    </w:p>
    <w:p w:rsidR="00B8453E" w:rsidRDefault="00B8453E" w:rsidP="00366596">
      <w:pPr>
        <w:ind w:firstLine="720"/>
      </w:pPr>
      <w:r w:rsidRPr="00653068">
        <w:t xml:space="preserve">Before implementing </w:t>
      </w:r>
      <w:r>
        <w:t>our version of the</w:t>
      </w:r>
      <w:r w:rsidRPr="00653068">
        <w:t xml:space="preserve"> “Latin</w:t>
      </w:r>
      <w:r>
        <w:t>o B</w:t>
      </w:r>
      <w:r w:rsidRPr="00653068">
        <w:t xml:space="preserve">litz” </w:t>
      </w:r>
      <w:r>
        <w:t xml:space="preserve">a </w:t>
      </w:r>
      <w:r w:rsidRPr="00653068">
        <w:t xml:space="preserve">marketing plan </w:t>
      </w:r>
      <w:r>
        <w:t>is needed.  It</w:t>
      </w:r>
      <w:r w:rsidRPr="00653068">
        <w:t xml:space="preserve"> is essential to research the actual demographics that comprise Vacaville, Ca.  Knowing the percentage of Latin American individuals </w:t>
      </w:r>
      <w:r>
        <w:t>making</w:t>
      </w:r>
      <w:r w:rsidRPr="00653068">
        <w:t xml:space="preserve">-up the total population of the city </w:t>
      </w:r>
      <w:r>
        <w:t>will</w:t>
      </w:r>
      <w:r w:rsidRPr="00653068">
        <w:t xml:space="preserve"> help us understand how influen</w:t>
      </w:r>
      <w:r>
        <w:t>tial this program will</w:t>
      </w:r>
      <w:r w:rsidRPr="00653068">
        <w:t xml:space="preserve"> be.  Upon review of our research we have concluded that because there is an estimated 18% Latin American population in Vacaville, increasing the Latin base will be tremendously helpful in increasing the overall customer base.  The following table provides demographic information regarding Vacaville compared to the state overall: </w:t>
      </w:r>
    </w:p>
    <w:p w:rsidR="00D72AF2" w:rsidRDefault="00D72AF2" w:rsidP="00D72AF2">
      <w:pPr>
        <w:pStyle w:val="Heading2"/>
      </w:pPr>
      <w:bookmarkStart w:id="13" w:name="_Toc280307349"/>
      <w:r>
        <w:t>External Factor Evaluation Matrix</w:t>
      </w:r>
      <w:bookmarkEnd w:id="13"/>
    </w:p>
    <w:tbl>
      <w:tblPr>
        <w:tblStyle w:val="LightShading-Accent5"/>
        <w:tblW w:w="10880" w:type="dxa"/>
        <w:tblInd w:w="-752" w:type="dxa"/>
        <w:tblLook w:val="04A0" w:firstRow="1" w:lastRow="0" w:firstColumn="1" w:lastColumn="0" w:noHBand="0" w:noVBand="1"/>
      </w:tblPr>
      <w:tblGrid>
        <w:gridCol w:w="3760"/>
        <w:gridCol w:w="1115"/>
        <w:gridCol w:w="1114"/>
        <w:gridCol w:w="1203"/>
        <w:gridCol w:w="3688"/>
      </w:tblGrid>
      <w:tr w:rsidR="00D72AF2" w:rsidRPr="00D72AF2" w:rsidTr="00D72AF2">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External Factors</w:t>
            </w:r>
          </w:p>
        </w:tc>
        <w:tc>
          <w:tcPr>
            <w:tcW w:w="1115" w:type="dxa"/>
            <w:hideMark/>
          </w:tcPr>
          <w:p w:rsidR="00D72AF2" w:rsidRPr="00D72AF2" w:rsidRDefault="00D72AF2" w:rsidP="00D72AF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Weight</w:t>
            </w:r>
          </w:p>
        </w:tc>
        <w:tc>
          <w:tcPr>
            <w:tcW w:w="1114" w:type="dxa"/>
            <w:hideMark/>
          </w:tcPr>
          <w:p w:rsidR="00D72AF2" w:rsidRPr="00D72AF2" w:rsidRDefault="00D72AF2" w:rsidP="00D72AF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Rating</w:t>
            </w:r>
          </w:p>
        </w:tc>
        <w:tc>
          <w:tcPr>
            <w:tcW w:w="1203" w:type="dxa"/>
            <w:hideMark/>
          </w:tcPr>
          <w:p w:rsidR="00D72AF2" w:rsidRPr="00D72AF2" w:rsidRDefault="00D72AF2" w:rsidP="00D72AF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Weighted Score</w:t>
            </w:r>
          </w:p>
        </w:tc>
        <w:tc>
          <w:tcPr>
            <w:tcW w:w="3688" w:type="dxa"/>
            <w:hideMark/>
          </w:tcPr>
          <w:p w:rsidR="00D72AF2" w:rsidRPr="00D72AF2" w:rsidRDefault="00D72AF2" w:rsidP="00D72AF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Comments</w:t>
            </w: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r>
      <w:tr w:rsidR="00D72AF2" w:rsidRPr="00D72AF2" w:rsidTr="00D72AF2">
        <w:trPr>
          <w:trHeight w:val="31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u w:val="single"/>
              </w:rPr>
            </w:pPr>
            <w:r w:rsidRPr="00D72AF2">
              <w:rPr>
                <w:rFonts w:ascii="Times New Roman" w:eastAsia="Times New Roman" w:hAnsi="Times New Roman" w:cs="Times New Roman"/>
                <w:color w:val="000000"/>
                <w:szCs w:val="24"/>
                <w:u w:val="single"/>
              </w:rPr>
              <w:t>Opportunities</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High percentage of Latin Americans in the middle class</w:t>
            </w: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0.25</w:t>
            </w: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1</w:t>
            </w: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Based off mean-income the Latin market has a </w:t>
            </w:r>
            <w:r w:rsidR="00294DBF" w:rsidRPr="00D72AF2">
              <w:rPr>
                <w:rFonts w:ascii="Times New Roman" w:eastAsia="Times New Roman" w:hAnsi="Times New Roman" w:cs="Times New Roman"/>
                <w:color w:val="000000"/>
                <w:szCs w:val="24"/>
              </w:rPr>
              <w:t>high</w:t>
            </w:r>
            <w:r w:rsidRPr="00D72AF2">
              <w:rPr>
                <w:rFonts w:ascii="Times New Roman" w:eastAsia="Times New Roman" w:hAnsi="Times New Roman" w:cs="Times New Roman"/>
                <w:color w:val="000000"/>
                <w:szCs w:val="24"/>
              </w:rPr>
              <w:t xml:space="preserve"> share in the middle class</w:t>
            </w:r>
          </w:p>
        </w:tc>
      </w:tr>
      <w:tr w:rsidR="00D72AF2" w:rsidRPr="00D72AF2" w:rsidTr="00D72AF2">
        <w:trPr>
          <w:trHeight w:val="94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Adequate </w:t>
            </w:r>
            <w:r w:rsidR="009B0878" w:rsidRPr="00D72AF2">
              <w:rPr>
                <w:rFonts w:ascii="Times New Roman" w:eastAsia="Times New Roman" w:hAnsi="Times New Roman" w:cs="Times New Roman"/>
                <w:color w:val="000000"/>
                <w:szCs w:val="24"/>
              </w:rPr>
              <w:t>population</w:t>
            </w:r>
            <w:r w:rsidRPr="00D72AF2">
              <w:rPr>
                <w:rFonts w:ascii="Times New Roman" w:eastAsia="Times New Roman" w:hAnsi="Times New Roman" w:cs="Times New Roman"/>
                <w:color w:val="000000"/>
                <w:szCs w:val="24"/>
              </w:rPr>
              <w:t xml:space="preserve"> of Latinos in enrolled in education throughout Vacaville, </w:t>
            </w:r>
            <w:r w:rsidR="00294DBF" w:rsidRPr="00D72AF2">
              <w:rPr>
                <w:rFonts w:ascii="Times New Roman" w:eastAsia="Times New Roman" w:hAnsi="Times New Roman" w:cs="Times New Roman"/>
                <w:color w:val="000000"/>
                <w:szCs w:val="24"/>
              </w:rPr>
              <w:t>CA</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0.1</w:t>
            </w: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0.4</w:t>
            </w: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11% of students in the ELL program, with a substantial of college </w:t>
            </w:r>
            <w:r w:rsidR="009B0878" w:rsidRPr="00D72AF2">
              <w:rPr>
                <w:rFonts w:ascii="Times New Roman" w:eastAsia="Times New Roman" w:hAnsi="Times New Roman" w:cs="Times New Roman"/>
                <w:color w:val="000000"/>
                <w:szCs w:val="24"/>
              </w:rPr>
              <w:t>opportunities</w:t>
            </w:r>
            <w:r w:rsidRPr="00D72AF2">
              <w:rPr>
                <w:rFonts w:ascii="Times New Roman" w:eastAsia="Times New Roman" w:hAnsi="Times New Roman" w:cs="Times New Roman"/>
                <w:color w:val="000000"/>
                <w:szCs w:val="24"/>
              </w:rPr>
              <w:t xml:space="preserve"> throughout the region </w:t>
            </w: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9B0878" w:rsidP="00D72AF2">
            <w:pPr>
              <w:spacing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Popula</w:t>
            </w:r>
            <w:r w:rsidR="00D72AF2" w:rsidRPr="00D72AF2">
              <w:rPr>
                <w:rFonts w:ascii="Times New Roman" w:eastAsia="Times New Roman" w:hAnsi="Times New Roman" w:cs="Times New Roman"/>
                <w:color w:val="000000"/>
                <w:szCs w:val="24"/>
              </w:rPr>
              <w:t xml:space="preserve">tion growth for Latin Americans in the region </w:t>
            </w: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0.05</w:t>
            </w: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0.2</w:t>
            </w: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High potential population growth of Latin American</w:t>
            </w:r>
          </w:p>
        </w:tc>
      </w:tr>
      <w:tr w:rsidR="00D72AF2" w:rsidRPr="00D72AF2" w:rsidTr="00D72AF2">
        <w:trPr>
          <w:trHeight w:val="1260"/>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Travis Air Force Base</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0.05</w:t>
            </w: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0.2</w:t>
            </w: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The  Air Force base has a high statistic of Latin Americans employed and a large percentage of bi-lingual stable client base and employee base</w:t>
            </w: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Great Franchises</w:t>
            </w: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0.1</w:t>
            </w: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0.4</w:t>
            </w: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Can potentially increase the percentages of office's in H&amp;R's arsenal</w:t>
            </w:r>
          </w:p>
        </w:tc>
      </w:tr>
      <w:tr w:rsidR="00D72AF2" w:rsidRPr="00D72AF2" w:rsidTr="00D72AF2">
        <w:trPr>
          <w:trHeight w:val="31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u w:val="single"/>
              </w:rPr>
            </w:pPr>
            <w:r w:rsidRPr="00D72AF2">
              <w:rPr>
                <w:rFonts w:ascii="Times New Roman" w:eastAsia="Times New Roman" w:hAnsi="Times New Roman" w:cs="Times New Roman"/>
                <w:color w:val="000000"/>
                <w:szCs w:val="24"/>
                <w:u w:val="single"/>
              </w:rPr>
              <w:t>Threats</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Competitors gaining market share</w:t>
            </w: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0.15</w:t>
            </w: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2.00</w:t>
            </w: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0.3</w:t>
            </w:r>
          </w:p>
        </w:tc>
        <w:tc>
          <w:tcPr>
            <w:tcW w:w="3688" w:type="dxa"/>
            <w:hideMark/>
          </w:tcPr>
          <w:p w:rsidR="00D72AF2" w:rsidRPr="00D72AF2" w:rsidRDefault="00294DBF"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Inuit Inc. and Jackson</w:t>
            </w:r>
            <w:r>
              <w:rPr>
                <w:rFonts w:ascii="Times New Roman" w:eastAsia="Times New Roman" w:hAnsi="Times New Roman" w:cs="Times New Roman"/>
                <w:color w:val="000000"/>
                <w:szCs w:val="24"/>
              </w:rPr>
              <w:t>-</w:t>
            </w:r>
            <w:r w:rsidRPr="003F3696">
              <w:t xml:space="preserve"> </w:t>
            </w:r>
            <w:r>
              <w:rPr>
                <w:rFonts w:ascii="Times New Roman" w:eastAsia="Times New Roman" w:hAnsi="Times New Roman" w:cs="Times New Roman"/>
                <w:color w:val="000000"/>
                <w:szCs w:val="24"/>
              </w:rPr>
              <w:t>Hew</w:t>
            </w:r>
            <w:r w:rsidRPr="003F3696">
              <w:rPr>
                <w:rFonts w:ascii="Times New Roman" w:eastAsia="Times New Roman" w:hAnsi="Times New Roman" w:cs="Times New Roman"/>
                <w:color w:val="000000"/>
                <w:szCs w:val="24"/>
              </w:rPr>
              <w:t>itt</w:t>
            </w:r>
            <w:r w:rsidRPr="00D72AF2">
              <w:rPr>
                <w:rFonts w:ascii="Times New Roman" w:eastAsia="Times New Roman" w:hAnsi="Times New Roman" w:cs="Times New Roman"/>
                <w:color w:val="000000"/>
                <w:szCs w:val="24"/>
              </w:rPr>
              <w:t xml:space="preserve"> Tax Service Inc. </w:t>
            </w:r>
          </w:p>
        </w:tc>
      </w:tr>
      <w:tr w:rsidR="00D72AF2" w:rsidRPr="00D72AF2" w:rsidTr="00D72AF2">
        <w:trPr>
          <w:trHeight w:val="94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"Mom and Pop" shops</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0.15</w:t>
            </w: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0.6</w:t>
            </w: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One of the biggest obstacles to overcome due to established relationships and trust </w:t>
            </w: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lastRenderedPageBreak/>
              <w:t xml:space="preserve">Unemployment rate increase, while employment rate is decreasing </w:t>
            </w: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0.1</w:t>
            </w: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3.00</w:t>
            </w: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0.3</w:t>
            </w: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This can decrease the amount of tax returns H&amp;R block will file </w:t>
            </w:r>
            <w:r w:rsidR="009B0878" w:rsidRPr="00D72AF2">
              <w:rPr>
                <w:rFonts w:ascii="Times New Roman" w:eastAsia="Times New Roman" w:hAnsi="Times New Roman" w:cs="Times New Roman"/>
                <w:color w:val="000000"/>
                <w:szCs w:val="24"/>
              </w:rPr>
              <w:t>annually</w:t>
            </w:r>
            <w:r w:rsidRPr="00D72AF2">
              <w:rPr>
                <w:rFonts w:ascii="Times New Roman" w:eastAsia="Times New Roman" w:hAnsi="Times New Roman" w:cs="Times New Roman"/>
                <w:color w:val="000000"/>
                <w:szCs w:val="24"/>
              </w:rPr>
              <w:t>.</w:t>
            </w:r>
          </w:p>
        </w:tc>
      </w:tr>
      <w:tr w:rsidR="00D72AF2" w:rsidRPr="00D72AF2" w:rsidTr="00D72AF2">
        <w:trPr>
          <w:trHeight w:val="945"/>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Increased Education among individuals</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72AF2">
              <w:rPr>
                <w:rFonts w:ascii="Calibri" w:eastAsia="Times New Roman" w:hAnsi="Calibri" w:cs="Calibri"/>
                <w:color w:val="000000"/>
              </w:rPr>
              <w:t>0.05</w:t>
            </w: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4.00</w:t>
            </w: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0.2</w:t>
            </w: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 xml:space="preserve">A higher percentage of individuals can potentially gain the knowledge to handle their own tax services </w:t>
            </w:r>
          </w:p>
        </w:tc>
      </w:tr>
      <w:tr w:rsidR="00D72AF2" w:rsidRPr="00D72AF2" w:rsidTr="00D72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60" w:type="dxa"/>
            <w:noWrap/>
            <w:hideMark/>
          </w:tcPr>
          <w:p w:rsidR="00D72AF2" w:rsidRPr="00D72AF2" w:rsidRDefault="00D72AF2" w:rsidP="00D72AF2">
            <w:pPr>
              <w:spacing w:line="240" w:lineRule="auto"/>
              <w:rPr>
                <w:rFonts w:ascii="Calibri" w:eastAsia="Times New Roman" w:hAnsi="Calibri" w:cs="Calibri"/>
                <w:color w:val="000000"/>
              </w:rPr>
            </w:pPr>
          </w:p>
        </w:tc>
        <w:tc>
          <w:tcPr>
            <w:tcW w:w="1115"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1114"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1203"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c>
          <w:tcPr>
            <w:tcW w:w="3688" w:type="dxa"/>
            <w:hideMark/>
          </w:tcPr>
          <w:p w:rsidR="00D72AF2" w:rsidRPr="00D72AF2" w:rsidRDefault="00D72AF2" w:rsidP="00D72AF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p>
        </w:tc>
      </w:tr>
      <w:tr w:rsidR="00D72AF2" w:rsidRPr="00D72AF2" w:rsidTr="00D72AF2">
        <w:trPr>
          <w:trHeight w:val="630"/>
        </w:trPr>
        <w:tc>
          <w:tcPr>
            <w:cnfStyle w:val="001000000000" w:firstRow="0" w:lastRow="0" w:firstColumn="1" w:lastColumn="0" w:oddVBand="0" w:evenVBand="0" w:oddHBand="0" w:evenHBand="0" w:firstRowFirstColumn="0" w:firstRowLastColumn="0" w:lastRowFirstColumn="0" w:lastRowLastColumn="0"/>
            <w:tcW w:w="3760" w:type="dxa"/>
            <w:hideMark/>
          </w:tcPr>
          <w:p w:rsidR="00D72AF2" w:rsidRPr="00D72AF2" w:rsidRDefault="00D72AF2" w:rsidP="00D72AF2">
            <w:pPr>
              <w:spacing w:line="240" w:lineRule="auto"/>
              <w:jc w:val="center"/>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Total</w:t>
            </w:r>
          </w:p>
        </w:tc>
        <w:tc>
          <w:tcPr>
            <w:tcW w:w="1115"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1.00</w:t>
            </w:r>
          </w:p>
        </w:tc>
        <w:tc>
          <w:tcPr>
            <w:tcW w:w="1114"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p>
        </w:tc>
        <w:tc>
          <w:tcPr>
            <w:tcW w:w="1203"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3.6</w:t>
            </w:r>
          </w:p>
        </w:tc>
        <w:tc>
          <w:tcPr>
            <w:tcW w:w="3688" w:type="dxa"/>
            <w:hideMark/>
          </w:tcPr>
          <w:p w:rsidR="00D72AF2" w:rsidRPr="00D72AF2" w:rsidRDefault="00D72AF2" w:rsidP="00D72AF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sidRPr="00D72AF2">
              <w:rPr>
                <w:rFonts w:ascii="Times New Roman" w:eastAsia="Times New Roman" w:hAnsi="Times New Roman" w:cs="Times New Roman"/>
                <w:color w:val="000000"/>
                <w:szCs w:val="24"/>
              </w:rPr>
              <w:t>Extremely Good, Above industry average of 3.0</w:t>
            </w:r>
          </w:p>
        </w:tc>
      </w:tr>
    </w:tbl>
    <w:p w:rsidR="00D72AF2" w:rsidRDefault="00D72AF2" w:rsidP="00366596">
      <w:pPr>
        <w:ind w:firstLine="720"/>
      </w:pPr>
    </w:p>
    <w:p w:rsidR="00D72AF2" w:rsidRPr="00653068" w:rsidRDefault="00D72AF2" w:rsidP="00D72AF2">
      <w:pPr>
        <w:pStyle w:val="Heading2"/>
      </w:pPr>
      <w:bookmarkStart w:id="14" w:name="_Toc280307350"/>
      <w:r>
        <w:t>Diversity</w:t>
      </w:r>
      <w:bookmarkEnd w:id="14"/>
    </w:p>
    <w:p w:rsidR="00B8453E" w:rsidRPr="00653068" w:rsidRDefault="00B8453E" w:rsidP="00366596">
      <w:r>
        <w:rPr>
          <w:b/>
        </w:rPr>
        <w:tab/>
      </w:r>
      <w:r>
        <w:t>We realize the importance of the</w:t>
      </w:r>
      <w:r w:rsidRPr="00653068">
        <w:t xml:space="preserve"> demographics of Latin Americans in the Vacaville region.  Upon analyzing the information found, we ha</w:t>
      </w:r>
      <w:r>
        <w:t>ve come to the conclusion that our version of the</w:t>
      </w:r>
      <w:r w:rsidRPr="00653068">
        <w:t xml:space="preserve"> “Latino Blitz” strategy will be beneficial due </w:t>
      </w:r>
      <w:r w:rsidRPr="00BB2FE8">
        <w:t>to 18% Latin population in Vacaville.  This large group will off-set the amount of time, energy, capital, and training that will be needed to implement our overall community out-reach program.  It is of note, that the U.S. census bureau has stated there will be an increase in the population of the Latin American population overall</w:t>
      </w:r>
      <w:r>
        <w:t>, as seen by the regression table above</w:t>
      </w:r>
      <w:r w:rsidRPr="00653068">
        <w:t>.  By establishing our</w:t>
      </w:r>
      <w:r>
        <w:t xml:space="preserve"> Latino Community Cultivation</w:t>
      </w:r>
      <w:r w:rsidRPr="00653068">
        <w:t xml:space="preserve"> plan as soon as possible, we will ensure that a </w:t>
      </w:r>
      <w:r>
        <w:t>quality mix of multi-lingual associates will be</w:t>
      </w:r>
      <w:r w:rsidRPr="00653068">
        <w:t xml:space="preserve"> connected with H&amp;R block</w:t>
      </w:r>
      <w:r>
        <w:t>, and thus a community connection will be created, driving up the profitability of “bottom line.”</w:t>
      </w:r>
    </w:p>
    <w:p w:rsidR="00B8453E" w:rsidRDefault="00B8453E" w:rsidP="00B8453E">
      <w:pPr>
        <w:pStyle w:val="Heading2"/>
      </w:pPr>
      <w:bookmarkStart w:id="15" w:name="_Toc280307351"/>
      <w:r>
        <w:t>Mean Income Level</w:t>
      </w:r>
      <w:bookmarkEnd w:id="15"/>
    </w:p>
    <w:p w:rsidR="00B8453E" w:rsidRPr="00653068" w:rsidRDefault="00B8453E" w:rsidP="00E51736">
      <w:pPr>
        <w:ind w:firstLine="720"/>
      </w:pPr>
      <w:r w:rsidRPr="00653068">
        <w:t>Researching the overall market in which our plan will target</w:t>
      </w:r>
      <w:r>
        <w:t>ed allows market segmentation to be defined.  It is imperative that we establish</w:t>
      </w:r>
      <w:r w:rsidRPr="00653068">
        <w:t xml:space="preserve"> a </w:t>
      </w:r>
      <w:r>
        <w:t xml:space="preserve">strategic </w:t>
      </w:r>
      <w:r w:rsidRPr="00653068">
        <w:t>plan that can be successful.  Understanding the Mean income Level provides the proper information in knowing what kind of market we are serving; for example, high income, middle-class, or predominantly lower-class.  After t</w:t>
      </w:r>
      <w:r>
        <w:t>he proper segment is identified,</w:t>
      </w:r>
      <w:r w:rsidRPr="00653068">
        <w:t xml:space="preserve"> preparation of the potential tax-services can be tailored, established and implemented into the overall plan.   </w:t>
      </w:r>
    </w:p>
    <w:p w:rsidR="00B8453E" w:rsidRPr="00DB4A3C" w:rsidRDefault="00B8453E" w:rsidP="00366596">
      <w:r w:rsidRPr="00B8453E">
        <w:rPr>
          <w:rStyle w:val="Heading4Char"/>
        </w:rPr>
        <w:t>Median Household Income in Vacaville, CA</w:t>
      </w:r>
      <w:r w:rsidRPr="00B8453E">
        <w:rPr>
          <w:rStyle w:val="Heading4Char"/>
        </w:rPr>
        <w:br/>
      </w:r>
      <w:r w:rsidRPr="00E4415E">
        <w:t>The median household income in the community at the time of the last survey was $57,667. The median household i</w:t>
      </w:r>
      <w:r>
        <w:t>ncome in the U.S. was $41,994. </w:t>
      </w:r>
    </w:p>
    <w:p w:rsidR="00B8453E" w:rsidRDefault="00B8453E" w:rsidP="00366596">
      <w:pPr>
        <w:rPr>
          <w:b/>
          <w:bCs/>
          <w:i/>
        </w:rPr>
      </w:pPr>
      <w:r w:rsidRPr="00B8453E">
        <w:rPr>
          <w:rStyle w:val="Heading4Char"/>
        </w:rPr>
        <w:lastRenderedPageBreak/>
        <w:t>Median Family Income in Vacaville, CA</w:t>
      </w:r>
      <w:r w:rsidRPr="00B8453E">
        <w:rPr>
          <w:rStyle w:val="Heading4Char"/>
        </w:rPr>
        <w:br/>
      </w:r>
      <w:r w:rsidRPr="00E4415E">
        <w:t>In the last complete census survey, the median family income in the community was $63,950. Median family</w:t>
      </w:r>
      <w:r>
        <w:t xml:space="preserve"> income in the U.S. was 50,046.</w:t>
      </w:r>
    </w:p>
    <w:p w:rsidR="00B8453E" w:rsidRDefault="00B8453E" w:rsidP="00366596">
      <w:pPr>
        <w:rPr>
          <w:b/>
          <w:bCs/>
          <w:i/>
        </w:rPr>
      </w:pPr>
      <w:r w:rsidRPr="00B8453E">
        <w:rPr>
          <w:rStyle w:val="Heading4Char"/>
        </w:rPr>
        <w:t>Per Capita Income in Vacaville, California</w:t>
      </w:r>
      <w:r w:rsidRPr="00E4415E">
        <w:rPr>
          <w:b/>
        </w:rPr>
        <w:br/>
      </w:r>
      <w:r w:rsidRPr="00E4415E">
        <w:t xml:space="preserve">Per capita income in Vacaville in the last full census was 21,557. Per capita </w:t>
      </w:r>
      <w:r>
        <w:t>income in the U.S. was 21,587. </w:t>
      </w:r>
    </w:p>
    <w:p w:rsidR="00B8453E" w:rsidRDefault="00B8453E" w:rsidP="00366596">
      <w:pPr>
        <w:rPr>
          <w:b/>
          <w:bCs/>
          <w:i/>
        </w:rPr>
      </w:pPr>
      <w:r w:rsidRPr="00B8453E">
        <w:rPr>
          <w:rStyle w:val="Heading4Char"/>
        </w:rPr>
        <w:t>Families below poverty level</w:t>
      </w:r>
      <w:r w:rsidRPr="00E4415E">
        <w:rPr>
          <w:b/>
          <w:i/>
        </w:rPr>
        <w:br/>
      </w:r>
      <w:r w:rsidRPr="00E4415E">
        <w:t xml:space="preserve">According to the most recent </w:t>
      </w:r>
      <w:r w:rsidR="00294DBF" w:rsidRPr="00E4415E">
        <w:t>survey, families</w:t>
      </w:r>
      <w:r w:rsidRPr="00E4415E">
        <w:t xml:space="preserve"> living below the poverty line in Vacaville numbered 899, or 4.3 percent of the population. The percentage of families in America living below the poverty line was 9.20%.</w:t>
      </w:r>
    </w:p>
    <w:p w:rsidR="00B8453E" w:rsidRDefault="00B8453E" w:rsidP="00366596">
      <w:r w:rsidRPr="00B8453E">
        <w:rPr>
          <w:rStyle w:val="Heading4Char"/>
        </w:rPr>
        <w:t>Individuals below the poverty level in Vacaville, CA</w:t>
      </w:r>
      <w:r w:rsidRPr="00B8453E">
        <w:rPr>
          <w:rStyle w:val="Heading4Char"/>
        </w:rPr>
        <w:br/>
      </w:r>
      <w:r w:rsidRPr="00BB2FE8">
        <w:t>Individuals living below the poverty line in the community were 4,801, or 6.1 percent. The percentage of individuals living beneath the poverty level in the country was 12.40%.</w:t>
      </w:r>
    </w:p>
    <w:p w:rsidR="00BB2FE8" w:rsidRDefault="00BB2FE8" w:rsidP="00BB2FE8">
      <w:pPr>
        <w:pStyle w:val="Heading4"/>
      </w:pPr>
      <w:r>
        <w:t>Family Income Breakdown Analysis</w:t>
      </w:r>
    </w:p>
    <w:p w:rsidR="00B8453E" w:rsidRDefault="00B8453E" w:rsidP="00366596">
      <w:r>
        <w:tab/>
      </w:r>
      <w:r w:rsidRPr="00653068">
        <w:t xml:space="preserve">This information is </w:t>
      </w:r>
      <w:r>
        <w:t>very important when planning</w:t>
      </w:r>
      <w:r w:rsidRPr="00653068">
        <w:t xml:space="preserve"> for the </w:t>
      </w:r>
      <w:r>
        <w:t>3035 Alamo Drive, Vacaville</w:t>
      </w:r>
      <w:r w:rsidRPr="00653068">
        <w:t xml:space="preserve"> office.  First, this information provides the evidence needed to convey that Vacaville, as a whole when compared to the national average, is an established middle-class city.  The Average Mean-Income in Vacaville, CA is $57,667 in comparison to the National average of $41,994.  This information is important in a variety of different way</w:t>
      </w:r>
      <w:r>
        <w:t>s</w:t>
      </w:r>
      <w:r w:rsidRPr="00653068">
        <w:t xml:space="preserve">, including but not limited to: an established middle class, advertising techniques, potential tax services that will need to be tailored, and a conclusion of economic incentive strategies.  Additionally, this is also important when implementing the previous stated economic incentive strategy and discounts that can be specifically targeted to the Latin American market.  </w:t>
      </w:r>
    </w:p>
    <w:p w:rsidR="00B8453E" w:rsidRPr="00BB2FE8" w:rsidRDefault="00294DBF" w:rsidP="00BB2FE8">
      <w:pPr>
        <w:pStyle w:val="Heading1"/>
        <w:spacing w:line="240" w:lineRule="auto"/>
        <w:rPr>
          <w:sz w:val="40"/>
          <w:szCs w:val="40"/>
        </w:rPr>
      </w:pPr>
      <w:bookmarkStart w:id="16" w:name="_Toc280307352"/>
      <w:r>
        <w:rPr>
          <w:sz w:val="40"/>
          <w:szCs w:val="40"/>
        </w:rPr>
        <w:t>Internal Factor Evaluation Matrix</w:t>
      </w:r>
      <w:bookmarkEnd w:id="16"/>
    </w:p>
    <w:p w:rsidR="00B8453E" w:rsidRDefault="00B8453E" w:rsidP="00366596">
      <w:pPr>
        <w:ind w:firstLine="720"/>
      </w:pPr>
      <w:r>
        <w:t xml:space="preserve">H&amp;R Block has different facets of strengths and weaknesses.   Below is an Internal Factor Evaluation Matrix (IFE Matrix) that rates H&amp; R block. The overall score is 1.9 which is far below the industry average of 3.0.  H &amp; R addresses its strengths extremely well; it has the over 300 </w:t>
      </w:r>
      <w:r>
        <w:lastRenderedPageBreak/>
        <w:t xml:space="preserve">different advanced tax courses both in English and Spanish. Its infrastructure is there to train its employees. In the IFEAS, </w:t>
      </w:r>
      <w:r w:rsidRPr="002E6478">
        <w:t xml:space="preserve">H&amp;R </w:t>
      </w:r>
      <w:r w:rsidR="00294DBF" w:rsidRPr="002E6478">
        <w:t>Block</w:t>
      </w:r>
      <w:r w:rsidR="00294DBF">
        <w:t>’s strength</w:t>
      </w:r>
      <w:r>
        <w:t xml:space="preserve"> scored near perfect scores in all categories.  </w:t>
      </w:r>
    </w:p>
    <w:p w:rsidR="00B8453E" w:rsidRDefault="00B8453E" w:rsidP="00366596">
      <w:r>
        <w:t xml:space="preserve">Ironically, H&amp;R Block’s greatest strength is also its greatest weakness.  Each H&amp;R Block office is independently managed to create a guerrilla management style. This is an effective in competitive blocking but is weak in creating a unified vision and strategy.  Furthermore, having each office independently managed does not properly address H&amp;R Block’s weakness as a whole. For example, there is very few Spanish speaking employee’s to address the Latino Blitz. Moreover, there is no infrastructure to measure the success of the Latino Blitz, this year and the previous years.  To implement a strategy with no benchmark of success is bad business because it does give a business the opportunity to evaluate the effectiveness of the strategy. This behavior, is derived when the vision and strategic plan of a corporation is not unified or known throughout. If each office can collaborate on a unified strategy it would have a greater yield in its result, lower cost and improved measurability. </w:t>
      </w:r>
    </w:p>
    <w:p w:rsidR="00B8453E" w:rsidRDefault="00B8453E" w:rsidP="00366596">
      <w:pPr>
        <w:ind w:firstLine="720"/>
      </w:pPr>
      <w:r>
        <w:t>In the IFE one of the factor with the highest critical weight, had a rating of 0. This factor is designated as the availability of H&amp;R Block’s software in multiple languages. In regards to the Latino Blitz, Spanish is the 3</w:t>
      </w:r>
      <w:r w:rsidRPr="00D5137E">
        <w:rPr>
          <w:vertAlign w:val="superscript"/>
        </w:rPr>
        <w:t>rd</w:t>
      </w:r>
      <w:r>
        <w:t xml:space="preserve"> most widely used native language in the world; English is the 4</w:t>
      </w:r>
      <w:r w:rsidRPr="00D5137E">
        <w:rPr>
          <w:vertAlign w:val="superscript"/>
        </w:rPr>
        <w:t>th</w:t>
      </w:r>
      <w:r>
        <w:t xml:space="preserve">.  In addition, it is the second most common language in the United States. In order for H&amp;R Block to be competitive in the Hispanic community, there is no alternative but to have H&amp;R Block software available in Spanish. It’s most successful competitor Inuit has translated Turbo Tax to Spanish in 2003.  For H &amp; R Block not to have addressed this resulted in the rating of 0, which tremendously impacts its total IFE score. </w:t>
      </w:r>
    </w:p>
    <w:p w:rsidR="00B8453E" w:rsidRDefault="00B8453E" w:rsidP="00366596">
      <w:pPr>
        <w:ind w:firstLine="720"/>
      </w:pPr>
      <w:r>
        <w:t>In order to address the issues listed above, H&amp;R Block as a corporation needs to reevaluate its corporate strategy in regards to the Latino Blitz. It has to reinforce an overall strategy as a whole, while still keeping its tax office management independent. These challenging tasks must be addressed in order to overcome its weaknesses.</w:t>
      </w:r>
    </w:p>
    <w:p w:rsidR="00B8453E" w:rsidRDefault="00B8453E" w:rsidP="00B8453E">
      <w:pPr>
        <w:pStyle w:val="Heading2"/>
      </w:pPr>
      <w:bookmarkStart w:id="17" w:name="_Toc280307353"/>
      <w:r>
        <w:t>I</w:t>
      </w:r>
      <w:r w:rsidR="008129B7">
        <w:t xml:space="preserve">NTERNAL </w:t>
      </w:r>
      <w:r>
        <w:t>F</w:t>
      </w:r>
      <w:r w:rsidR="008129B7">
        <w:t xml:space="preserve">ACTORS </w:t>
      </w:r>
      <w:r>
        <w:t>E</w:t>
      </w:r>
      <w:r w:rsidR="008129B7">
        <w:t>VALUATION MATRIX</w:t>
      </w:r>
      <w:bookmarkEnd w:id="17"/>
    </w:p>
    <w:tbl>
      <w:tblPr>
        <w:tblW w:w="10880" w:type="dxa"/>
        <w:tblInd w:w="-737" w:type="dxa"/>
        <w:tblLook w:val="04A0" w:firstRow="1" w:lastRow="0" w:firstColumn="1" w:lastColumn="0" w:noHBand="0" w:noVBand="1"/>
      </w:tblPr>
      <w:tblGrid>
        <w:gridCol w:w="3760"/>
        <w:gridCol w:w="1115"/>
        <w:gridCol w:w="1113"/>
        <w:gridCol w:w="1203"/>
        <w:gridCol w:w="3689"/>
      </w:tblGrid>
      <w:tr w:rsidR="00B8453E" w:rsidRPr="00AD54E1" w:rsidTr="00366596">
        <w:trPr>
          <w:trHeight w:val="615"/>
        </w:trPr>
        <w:tc>
          <w:tcPr>
            <w:tcW w:w="3760" w:type="dxa"/>
            <w:tcBorders>
              <w:top w:val="nil"/>
              <w:left w:val="nil"/>
              <w:bottom w:val="single" w:sz="8" w:space="0" w:color="auto"/>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Internal Factors</w:t>
            </w:r>
          </w:p>
        </w:tc>
        <w:tc>
          <w:tcPr>
            <w:tcW w:w="1115" w:type="dxa"/>
            <w:tcBorders>
              <w:top w:val="nil"/>
              <w:left w:val="nil"/>
              <w:bottom w:val="single" w:sz="8" w:space="0" w:color="auto"/>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Weight</w:t>
            </w:r>
          </w:p>
        </w:tc>
        <w:tc>
          <w:tcPr>
            <w:tcW w:w="1113" w:type="dxa"/>
            <w:tcBorders>
              <w:top w:val="nil"/>
              <w:left w:val="nil"/>
              <w:bottom w:val="single" w:sz="8" w:space="0" w:color="auto"/>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Rating</w:t>
            </w:r>
          </w:p>
        </w:tc>
        <w:tc>
          <w:tcPr>
            <w:tcW w:w="1203" w:type="dxa"/>
            <w:tcBorders>
              <w:top w:val="nil"/>
              <w:left w:val="nil"/>
              <w:bottom w:val="single" w:sz="8" w:space="0" w:color="auto"/>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Weighted Score</w:t>
            </w:r>
          </w:p>
        </w:tc>
        <w:tc>
          <w:tcPr>
            <w:tcW w:w="3689" w:type="dxa"/>
            <w:tcBorders>
              <w:top w:val="nil"/>
              <w:left w:val="nil"/>
              <w:bottom w:val="single" w:sz="8" w:space="0" w:color="auto"/>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Comments</w:t>
            </w: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lastRenderedPageBreak/>
              <w:t>Strengths</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Independent Office Management</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0.05</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4.00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0.2</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Each Office is independently managed</w:t>
            </w:r>
          </w:p>
        </w:tc>
      </w:tr>
      <w:tr w:rsidR="00B8453E" w:rsidRPr="00AD54E1" w:rsidTr="00366596">
        <w:trPr>
          <w:trHeight w:val="94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Comprehensive Training</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4.00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0.4</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Over 300 different tax preparation classes available - Both in English and Spanish</w:t>
            </w: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High Customer R</w:t>
            </w:r>
            <w:r>
              <w:rPr>
                <w:rFonts w:eastAsia="Times New Roman"/>
              </w:rPr>
              <w:t>et</w:t>
            </w:r>
            <w:r w:rsidRPr="00AD54E1">
              <w:rPr>
                <w:rFonts w:eastAsia="Times New Roman"/>
              </w:rPr>
              <w:t>ention Rate</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3.50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0.35</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Customer R</w:t>
            </w:r>
            <w:r>
              <w:rPr>
                <w:rFonts w:eastAsia="Times New Roman"/>
              </w:rPr>
              <w:t>et</w:t>
            </w:r>
            <w:r w:rsidRPr="00AD54E1">
              <w:rPr>
                <w:rFonts w:eastAsia="Times New Roman"/>
              </w:rPr>
              <w:t>ention Rate is close to 40%</w:t>
            </w:r>
          </w:p>
        </w:tc>
      </w:tr>
      <w:tr w:rsidR="00B8453E" w:rsidRPr="00AD54E1" w:rsidTr="00366596">
        <w:trPr>
          <w:trHeight w:val="630"/>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One-Stop-Shop Tax Provider</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3.50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0.35</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Can handle all avenues of tax preparation</w:t>
            </w: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Weaknesses</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945"/>
        </w:trPr>
        <w:tc>
          <w:tcPr>
            <w:tcW w:w="3760" w:type="dxa"/>
            <w:tcBorders>
              <w:top w:val="nil"/>
              <w:left w:val="nil"/>
              <w:bottom w:val="nil"/>
              <w:right w:val="nil"/>
            </w:tcBorders>
            <w:shd w:val="clear" w:color="auto" w:fill="auto"/>
            <w:vAlign w:val="center"/>
            <w:hideMark/>
          </w:tcPr>
          <w:p w:rsidR="00B8453E" w:rsidRPr="00AD54E1" w:rsidRDefault="00294DBF" w:rsidP="00366596">
            <w:pPr>
              <w:pStyle w:val="NoSpacing"/>
              <w:rPr>
                <w:rFonts w:eastAsia="Times New Roman"/>
              </w:rPr>
            </w:pPr>
            <w:r w:rsidRPr="00AD54E1">
              <w:rPr>
                <w:rFonts w:eastAsia="Times New Roman"/>
              </w:rPr>
              <w:t>Indep</w:t>
            </w:r>
            <w:r>
              <w:rPr>
                <w:rFonts w:eastAsia="Times New Roman"/>
              </w:rPr>
              <w:t>ende</w:t>
            </w:r>
            <w:r w:rsidRPr="00AD54E1">
              <w:rPr>
                <w:rFonts w:eastAsia="Times New Roman"/>
              </w:rPr>
              <w:t>nt</w:t>
            </w:r>
            <w:r w:rsidR="00B8453E" w:rsidRPr="00AD54E1">
              <w:rPr>
                <w:rFonts w:eastAsia="Times New Roman"/>
              </w:rPr>
              <w:t xml:space="preserve"> Office Management</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 xml:space="preserve">Having each Tax Office independently managed greatly hinders </w:t>
            </w:r>
            <w:r w:rsidR="00294DBF">
              <w:rPr>
                <w:rFonts w:eastAsia="Times New Roman"/>
              </w:rPr>
              <w:t>execu</w:t>
            </w:r>
            <w:r w:rsidR="00294DBF" w:rsidRPr="00AD54E1">
              <w:rPr>
                <w:rFonts w:eastAsia="Times New Roman"/>
              </w:rPr>
              <w:t>tion</w:t>
            </w:r>
            <w:r w:rsidRPr="00AD54E1">
              <w:rPr>
                <w:rFonts w:eastAsia="Times New Roman"/>
              </w:rPr>
              <w:t xml:space="preserve"> of an unified plan</w:t>
            </w:r>
          </w:p>
        </w:tc>
      </w:tr>
      <w:tr w:rsidR="00B8453E" w:rsidRPr="00AD54E1" w:rsidTr="00366596">
        <w:trPr>
          <w:trHeight w:val="1260"/>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Poor Records of Returns done in a Foreign Language</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0.05</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2.00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No available data on returns one in a foreign language, so there is no data to benchmark the effectiveness of Latino Blitz.</w:t>
            </w:r>
          </w:p>
        </w:tc>
      </w:tr>
      <w:tr w:rsidR="00B8453E" w:rsidRPr="00AD54E1" w:rsidTr="00366596">
        <w:trPr>
          <w:trHeight w:val="94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No Bi-Lingual Incentive</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0.15</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0.15</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Bi-Lingual Employees receive the same pay when filling out a tax return in a foreign language</w:t>
            </w:r>
          </w:p>
        </w:tc>
      </w:tr>
      <w:tr w:rsidR="00B8453E" w:rsidRPr="00AD54E1" w:rsidTr="00366596">
        <w:trPr>
          <w:trHeight w:val="94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Poor Business Hours In Off Season</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0.05</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2.00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 Office in Vacaville open year round open two days a week, for a total of 8 hours.</w:t>
            </w:r>
          </w:p>
        </w:tc>
      </w:tr>
      <w:tr w:rsidR="00B8453E" w:rsidRPr="00AD54E1" w:rsidTr="00366596">
        <w:trPr>
          <w:trHeight w:val="630"/>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No Multi-Lan</w:t>
            </w:r>
            <w:r>
              <w:rPr>
                <w:rFonts w:eastAsia="Times New Roman"/>
              </w:rPr>
              <w:t>gu</w:t>
            </w:r>
            <w:r w:rsidRPr="00AD54E1">
              <w:rPr>
                <w:rFonts w:eastAsia="Times New Roman"/>
              </w:rPr>
              <w:t>age Software</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0.20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0.00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Underutilized resources / did not anticipate lack of demand</w:t>
            </w:r>
          </w:p>
        </w:tc>
      </w:tr>
      <w:tr w:rsidR="00B8453E" w:rsidRPr="00AD54E1" w:rsidTr="00366596">
        <w:trPr>
          <w:trHeight w:val="1260"/>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Few Bi-Lingual Employees</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1.50</w:t>
            </w: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0.15</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3 Bi-Lingual Employees in H &amp; R 3035 Alamo Office, according to H &amp; R Block Website employee roster no employees speak Spanish</w:t>
            </w:r>
          </w:p>
        </w:tc>
      </w:tr>
      <w:tr w:rsidR="00B8453E" w:rsidRPr="00AD54E1" w:rsidTr="00366596">
        <w:trPr>
          <w:trHeight w:val="315"/>
        </w:trPr>
        <w:tc>
          <w:tcPr>
            <w:tcW w:w="3760" w:type="dxa"/>
            <w:tcBorders>
              <w:top w:val="nil"/>
              <w:left w:val="nil"/>
              <w:bottom w:val="nil"/>
              <w:right w:val="nil"/>
            </w:tcBorders>
            <w:shd w:val="clear" w:color="auto" w:fill="auto"/>
            <w:noWrap/>
            <w:vAlign w:val="bottom"/>
            <w:hideMark/>
          </w:tcPr>
          <w:p w:rsidR="00B8453E" w:rsidRPr="00AD54E1" w:rsidRDefault="00B8453E" w:rsidP="00366596">
            <w:pPr>
              <w:pStyle w:val="NoSpacing"/>
              <w:rPr>
                <w:rFonts w:ascii="Calibri" w:eastAsia="Times New Roman" w:hAnsi="Calibri" w:cs="Calibri"/>
                <w:color w:val="000000"/>
              </w:rPr>
            </w:pP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r>
      <w:tr w:rsidR="00B8453E" w:rsidRPr="00AD54E1" w:rsidTr="00366596">
        <w:trPr>
          <w:trHeight w:val="315"/>
        </w:trPr>
        <w:tc>
          <w:tcPr>
            <w:tcW w:w="3760"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Total</w:t>
            </w:r>
          </w:p>
        </w:tc>
        <w:tc>
          <w:tcPr>
            <w:tcW w:w="1115"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1.00</w:t>
            </w:r>
          </w:p>
        </w:tc>
        <w:tc>
          <w:tcPr>
            <w:tcW w:w="1113" w:type="dxa"/>
            <w:tcBorders>
              <w:top w:val="nil"/>
              <w:left w:val="nil"/>
              <w:bottom w:val="nil"/>
              <w:right w:val="nil"/>
            </w:tcBorders>
            <w:shd w:val="clear" w:color="auto" w:fill="auto"/>
            <w:vAlign w:val="center"/>
            <w:hideMark/>
          </w:tcPr>
          <w:p w:rsidR="00B8453E" w:rsidRPr="00AD54E1" w:rsidRDefault="00B8453E" w:rsidP="00366596">
            <w:pPr>
              <w:pStyle w:val="NoSpacing"/>
              <w:rPr>
                <w:rFonts w:ascii="Times New Roman" w:eastAsia="Times New Roman" w:hAnsi="Times New Roman" w:cs="Times New Roman"/>
                <w:color w:val="000000"/>
                <w:szCs w:val="24"/>
              </w:rPr>
            </w:pPr>
          </w:p>
        </w:tc>
        <w:tc>
          <w:tcPr>
            <w:tcW w:w="1203"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1.9</w:t>
            </w:r>
          </w:p>
        </w:tc>
        <w:tc>
          <w:tcPr>
            <w:tcW w:w="3689" w:type="dxa"/>
            <w:tcBorders>
              <w:top w:val="nil"/>
              <w:left w:val="nil"/>
              <w:bottom w:val="nil"/>
              <w:right w:val="nil"/>
            </w:tcBorders>
            <w:shd w:val="clear" w:color="auto" w:fill="auto"/>
            <w:vAlign w:val="center"/>
            <w:hideMark/>
          </w:tcPr>
          <w:p w:rsidR="00B8453E" w:rsidRPr="00AD54E1" w:rsidRDefault="00B8453E" w:rsidP="00366596">
            <w:pPr>
              <w:pStyle w:val="NoSpacing"/>
              <w:rPr>
                <w:rFonts w:eastAsia="Times New Roman"/>
              </w:rPr>
            </w:pPr>
            <w:r w:rsidRPr="00AD54E1">
              <w:rPr>
                <w:rFonts w:eastAsia="Times New Roman"/>
              </w:rPr>
              <w:t>Industry Average is 3.0</w:t>
            </w:r>
          </w:p>
        </w:tc>
      </w:tr>
    </w:tbl>
    <w:p w:rsidR="000C1D07" w:rsidRDefault="00C46B25" w:rsidP="00366596">
      <w:pPr>
        <w:pStyle w:val="Heading1"/>
      </w:pPr>
      <w:bookmarkStart w:id="18" w:name="_Toc280292412"/>
      <w:bookmarkStart w:id="19" w:name="_Toc280307354"/>
      <w:r>
        <w:t>Strategies</w:t>
      </w:r>
      <w:bookmarkEnd w:id="18"/>
      <w:bookmarkEnd w:id="19"/>
    </w:p>
    <w:p w:rsidR="00D46ED5" w:rsidRDefault="00726625" w:rsidP="00366596">
      <w:r>
        <w:t xml:space="preserve">Our </w:t>
      </w:r>
      <w:r w:rsidR="00294DBF">
        <w:t>plan is</w:t>
      </w:r>
      <w:r w:rsidR="00D46ED5">
        <w:t xml:space="preserve"> based on the following overall </w:t>
      </w:r>
      <w:r w:rsidR="003C036B">
        <w:t>strategies</w:t>
      </w:r>
      <w:r w:rsidR="00D46ED5">
        <w:t>:</w:t>
      </w:r>
    </w:p>
    <w:p w:rsidR="00D46ED5" w:rsidRDefault="00AC4F5A" w:rsidP="00366596">
      <w:pPr>
        <w:pStyle w:val="ListParagraph"/>
        <w:numPr>
          <w:ilvl w:val="0"/>
          <w:numId w:val="17"/>
        </w:numPr>
      </w:pPr>
      <w:r>
        <w:t xml:space="preserve">Recruit </w:t>
      </w:r>
      <w:r w:rsidR="00D46ED5">
        <w:t>and retain Spanish speaking employees</w:t>
      </w:r>
    </w:p>
    <w:p w:rsidR="00AC4F5A" w:rsidRDefault="00997A39" w:rsidP="00366596">
      <w:pPr>
        <w:pStyle w:val="ListParagraph"/>
        <w:numPr>
          <w:ilvl w:val="1"/>
          <w:numId w:val="17"/>
        </w:numPr>
      </w:pPr>
      <w:r>
        <w:lastRenderedPageBreak/>
        <w:t>Internal Recruiting with</w:t>
      </w:r>
      <w:r w:rsidR="00012A10">
        <w:t xml:space="preserve"> Supportive</w:t>
      </w:r>
      <w:r>
        <w:t xml:space="preserve"> Incentives</w:t>
      </w:r>
    </w:p>
    <w:p w:rsidR="00997A39" w:rsidRDefault="00997A39" w:rsidP="00366596">
      <w:pPr>
        <w:pStyle w:val="ListParagraph"/>
        <w:numPr>
          <w:ilvl w:val="1"/>
          <w:numId w:val="17"/>
        </w:numPr>
      </w:pPr>
      <w:r>
        <w:t xml:space="preserve">External Recruiting with </w:t>
      </w:r>
      <w:r w:rsidR="00012A10">
        <w:t xml:space="preserve">Supported </w:t>
      </w:r>
      <w:r>
        <w:t>Incentives</w:t>
      </w:r>
    </w:p>
    <w:p w:rsidR="00240440" w:rsidRDefault="00D46ED5" w:rsidP="00366596">
      <w:pPr>
        <w:pStyle w:val="ListParagraph"/>
        <w:numPr>
          <w:ilvl w:val="0"/>
          <w:numId w:val="17"/>
        </w:numPr>
      </w:pPr>
      <w:r>
        <w:t>Thr</w:t>
      </w:r>
      <w:r w:rsidR="00240440">
        <w:t xml:space="preserve">ough local grassroots marketing, advertising and community out-reach programs engage and support the local Latino community </w:t>
      </w:r>
    </w:p>
    <w:p w:rsidR="00240440" w:rsidRDefault="00240440" w:rsidP="00366596">
      <w:pPr>
        <w:pStyle w:val="ListParagraph"/>
        <w:numPr>
          <w:ilvl w:val="0"/>
          <w:numId w:val="17"/>
        </w:numPr>
      </w:pPr>
      <w:r>
        <w:t>Give incentives</w:t>
      </w:r>
      <w:r w:rsidR="00AF1B7D">
        <w:t xml:space="preserve"> to Latino customers building </w:t>
      </w:r>
      <w:r>
        <w:t>customer retention</w:t>
      </w:r>
    </w:p>
    <w:p w:rsidR="00D50184" w:rsidRDefault="00AF1B7D" w:rsidP="00366596">
      <w:pPr>
        <w:pStyle w:val="ListParagraph"/>
        <w:numPr>
          <w:ilvl w:val="0"/>
          <w:numId w:val="17"/>
        </w:numPr>
      </w:pPr>
      <w:r>
        <w:t xml:space="preserve">Develop the H&amp;R Block Brand </w:t>
      </w:r>
      <w:r w:rsidR="004505B9">
        <w:t>to effectively use and develop the Latino Blitz as a community support program, bring it beyond the “bottom-line” stage.</w:t>
      </w:r>
    </w:p>
    <w:p w:rsidR="009E3567" w:rsidRDefault="009E3567" w:rsidP="00366596">
      <w:pPr>
        <w:pStyle w:val="ListParagraph"/>
        <w:numPr>
          <w:ilvl w:val="0"/>
          <w:numId w:val="17"/>
        </w:numPr>
      </w:pPr>
      <w:r>
        <w:t xml:space="preserve">Adjust the existing H&amp;R Block Software for use in </w:t>
      </w:r>
      <w:r w:rsidR="009A5F8E">
        <w:t xml:space="preserve">multiple languages, tracking and targeting </w:t>
      </w:r>
      <w:r>
        <w:t xml:space="preserve">the most advantageous </w:t>
      </w:r>
      <w:r w:rsidR="009A5F8E">
        <w:t xml:space="preserve">market segments by region. </w:t>
      </w:r>
    </w:p>
    <w:p w:rsidR="003C036B" w:rsidRDefault="003C036B" w:rsidP="00041F1A">
      <w:pPr>
        <w:pStyle w:val="Heading2"/>
      </w:pPr>
      <w:bookmarkStart w:id="20" w:name="_Toc280292413"/>
      <w:bookmarkStart w:id="21" w:name="_Toc280307355"/>
      <w:r>
        <w:t>Spanish Speaking Employees</w:t>
      </w:r>
      <w:bookmarkEnd w:id="20"/>
      <w:bookmarkEnd w:id="21"/>
    </w:p>
    <w:p w:rsidR="003C036B" w:rsidRDefault="00D70BE4" w:rsidP="00366596">
      <w:r>
        <w:tab/>
        <w:t>We intend to create a program in which Spanish speakers and Latino individuals feel supported, valued and honored by H&amp;R Block as stake</w:t>
      </w:r>
      <w:r w:rsidR="00A70E21">
        <w:t>holders and partners in their offices.  This will be accomplished by:</w:t>
      </w:r>
    </w:p>
    <w:p w:rsidR="00A70E21" w:rsidRDefault="00A70E21" w:rsidP="00366596">
      <w:pPr>
        <w:pStyle w:val="ListParagraph"/>
        <w:numPr>
          <w:ilvl w:val="0"/>
          <w:numId w:val="18"/>
        </w:numPr>
      </w:pPr>
      <w:r>
        <w:t>Creating a version of the H&amp;R Block tax program in multiple l</w:t>
      </w:r>
      <w:r w:rsidR="00021255">
        <w:t>anguages, specifically Spanish. I</w:t>
      </w:r>
      <w:r>
        <w:t xml:space="preserve">t </w:t>
      </w:r>
      <w:r w:rsidR="00021255">
        <w:t>is very difficult to have Latino employees feel supported by their company and to “buy-in” to the</w:t>
      </w:r>
      <w:r>
        <w:t xml:space="preserve"> Latino Blitz, without Spanish oriented </w:t>
      </w:r>
      <w:r w:rsidR="00021255">
        <w:t>tools.</w:t>
      </w:r>
    </w:p>
    <w:p w:rsidR="005F10D2" w:rsidRDefault="006E7799" w:rsidP="00366596">
      <w:pPr>
        <w:pStyle w:val="ListParagraph"/>
        <w:numPr>
          <w:ilvl w:val="0"/>
          <w:numId w:val="18"/>
        </w:numPr>
      </w:pPr>
      <w:r>
        <w:t>Giving incentives for Language proficiency</w:t>
      </w:r>
      <w:r w:rsidR="00012A10">
        <w:t xml:space="preserve"> (percentage,</w:t>
      </w:r>
      <w:r w:rsidR="00477036">
        <w:t xml:space="preserve"> flat rate</w:t>
      </w:r>
      <w:r w:rsidR="00012A10">
        <w:t>, or combination of the two</w:t>
      </w:r>
      <w:r w:rsidR="00477036">
        <w:t>)</w:t>
      </w:r>
      <w:r>
        <w:t xml:space="preserve"> along with </w:t>
      </w:r>
      <w:r w:rsidR="00477036">
        <w:t xml:space="preserve">Spiffs (Special incentives for directing/pushing certain products or services) on key products and services such as the </w:t>
      </w:r>
      <w:r w:rsidR="00D50184" w:rsidRPr="00366596">
        <w:rPr>
          <w:iCs/>
        </w:rPr>
        <w:t>Refund Anticipation Loan</w:t>
      </w:r>
      <w:r w:rsidR="00477036">
        <w:t xml:space="preserve">(RAL) or </w:t>
      </w:r>
      <w:r w:rsidR="005F10D2">
        <w:t>Emerald Card program</w:t>
      </w:r>
    </w:p>
    <w:p w:rsidR="00D614DA" w:rsidRDefault="005F10D2" w:rsidP="00366596">
      <w:pPr>
        <w:pStyle w:val="ListParagraph"/>
        <w:numPr>
          <w:ilvl w:val="0"/>
          <w:numId w:val="18"/>
        </w:numPr>
      </w:pPr>
      <w:r>
        <w:t>Give recognition through awards su</w:t>
      </w:r>
      <w:r w:rsidR="005E0942">
        <w:t>ch as Highest Bilingual sales</w:t>
      </w:r>
      <w:r w:rsidR="00294DBF">
        <w:t>, 1st</w:t>
      </w:r>
      <w:r w:rsidR="005E0942">
        <w:t xml:space="preserve"> in customer satisfaction or highest client retention rate</w:t>
      </w:r>
      <w:r w:rsidR="00D614DA">
        <w:t>.</w:t>
      </w:r>
    </w:p>
    <w:p w:rsidR="00A30E99" w:rsidRDefault="00A30E99" w:rsidP="00A30E99">
      <w:pPr>
        <w:pStyle w:val="Heading2"/>
      </w:pPr>
      <w:bookmarkStart w:id="22" w:name="_Toc280292414"/>
      <w:bookmarkStart w:id="23" w:name="_Toc280292416"/>
      <w:bookmarkStart w:id="24" w:name="_Toc280307356"/>
      <w:r>
        <w:t>Latino Blitz to Grass Roots Community Program</w:t>
      </w:r>
      <w:bookmarkEnd w:id="22"/>
      <w:bookmarkEnd w:id="24"/>
    </w:p>
    <w:p w:rsidR="00A30E99" w:rsidRDefault="00A30E99" w:rsidP="00A30E99">
      <w:r>
        <w:tab/>
        <w:t xml:space="preserve">A “Latino Blitz” cannot be successful without a strong company supportive community outreach program.  “Blitz” is the German word for lightning, and does not fit into a grassroots program.   The “Latino Lightning” program should be renamed to “Latino Community Cultivation” which will work much better in a community outreach setting, than a high pressure sales program.  This cultivation program would allow for partnership opportunities with existing “Latino” groups.  Vacaville sits on the border of the California Central Valley, and many migrant </w:t>
      </w:r>
      <w:r>
        <w:lastRenderedPageBreak/>
        <w:t>Hispanics work in the surrounding area.  This has the opportunity to connect with the local farming community, with H&amp;R Block, “cultivating” its Latino base.  It would give the company the pleasure of “planting seeds”, “growing the roots“, and finally,” enjoying the fruits of your labor” as the saying goes.</w:t>
      </w:r>
    </w:p>
    <w:p w:rsidR="00A30E99" w:rsidRDefault="00A30E99" w:rsidP="00A30E99">
      <w:r>
        <w:tab/>
        <w:t xml:space="preserve">By reaching out to local farming groups, middle and high schools, and the </w:t>
      </w:r>
      <w:r w:rsidRPr="009D6687">
        <w:t xml:space="preserve">Math, Engineering, Science Achievement </w:t>
      </w:r>
      <w:r>
        <w:t xml:space="preserve">(MESA) </w:t>
      </w:r>
      <w:r w:rsidRPr="009D6687">
        <w:t>Program</w:t>
      </w:r>
      <w:r>
        <w:t xml:space="preserve"> at Solano Community College (SCC), H&amp;R Block would be able to enjoy a large amount of Market Penetration.  Targeting the local secondary schools and the tertiary school (SCC) as a program would be part of “The School House” program presented by the winning team on the previous year.  </w:t>
      </w:r>
    </w:p>
    <w:p w:rsidR="002A0434" w:rsidRPr="00FF74DB" w:rsidRDefault="002A0434" w:rsidP="0005765B">
      <w:pPr>
        <w:pStyle w:val="Heading1"/>
      </w:pPr>
      <w:bookmarkStart w:id="25" w:name="_Toc280307357"/>
      <w:r w:rsidRPr="00FF74DB">
        <w:t>Milestones</w:t>
      </w:r>
      <w:bookmarkEnd w:id="23"/>
      <w:bookmarkEnd w:id="25"/>
    </w:p>
    <w:p w:rsidR="002A0434" w:rsidRDefault="002A0434" w:rsidP="00366596">
      <w:r>
        <w:t xml:space="preserve">It is important to realize that in addition to our office strategy we </w:t>
      </w:r>
      <w:r w:rsidR="00A95830">
        <w:t xml:space="preserve">are also making </w:t>
      </w:r>
      <w:r>
        <w:t xml:space="preserve">recommendation on a corporate level. Although, this is out of the scope of this school project, in order to have </w:t>
      </w:r>
      <w:r w:rsidR="00A95830">
        <w:t xml:space="preserve">the </w:t>
      </w:r>
      <w:r>
        <w:t>Latino Blitz</w:t>
      </w:r>
      <w:r w:rsidR="00A95830">
        <w:t xml:space="preserve"> be</w:t>
      </w:r>
      <w:r>
        <w:t xml:space="preserve"> successful several key issues need to be addressed for the successful implementation of this strategy. </w:t>
      </w:r>
    </w:p>
    <w:p w:rsidR="002A0434" w:rsidRDefault="002A0434" w:rsidP="00366596">
      <w:r>
        <w:t xml:space="preserve">There </w:t>
      </w:r>
      <w:r w:rsidR="00A95830">
        <w:t>are</w:t>
      </w:r>
      <w:r>
        <w:t xml:space="preserve"> three office strategies and two corporate strategies that </w:t>
      </w:r>
      <w:r w:rsidR="00A95830">
        <w:t>we</w:t>
      </w:r>
      <w:r>
        <w:t xml:space="preserve"> recommended to be utilized to further capitalize the Hispanic market share. </w:t>
      </w:r>
    </w:p>
    <w:p w:rsidR="002A0434" w:rsidRDefault="002A0434" w:rsidP="00366596">
      <w:pPr>
        <w:pStyle w:val="ListParagraph"/>
        <w:numPr>
          <w:ilvl w:val="0"/>
          <w:numId w:val="20"/>
        </w:numPr>
      </w:pPr>
      <w:r>
        <w:t>Bi-Lingual Employee Incentive Program</w:t>
      </w:r>
    </w:p>
    <w:p w:rsidR="002A0434" w:rsidRDefault="002A0434" w:rsidP="00366596">
      <w:pPr>
        <w:pStyle w:val="ListParagraph"/>
        <w:numPr>
          <w:ilvl w:val="0"/>
          <w:numId w:val="20"/>
        </w:numPr>
      </w:pPr>
      <w:r>
        <w:t>Hispanic Grass Roots Promotion Program</w:t>
      </w:r>
    </w:p>
    <w:p w:rsidR="002A0434" w:rsidRDefault="002A0434" w:rsidP="00366596">
      <w:pPr>
        <w:pStyle w:val="ListParagraph"/>
        <w:numPr>
          <w:ilvl w:val="0"/>
          <w:numId w:val="20"/>
        </w:numPr>
      </w:pPr>
      <w:r>
        <w:t>Hispanic Retention Program</w:t>
      </w:r>
    </w:p>
    <w:p w:rsidR="002A0434" w:rsidRDefault="002A0434" w:rsidP="00366596">
      <w:pPr>
        <w:pStyle w:val="ListParagraph"/>
        <w:numPr>
          <w:ilvl w:val="0"/>
          <w:numId w:val="20"/>
        </w:numPr>
      </w:pPr>
      <w:r>
        <w:t>Demographic Tracking Program*</w:t>
      </w:r>
    </w:p>
    <w:p w:rsidR="002A0434" w:rsidRDefault="002A0434" w:rsidP="00366596">
      <w:pPr>
        <w:pStyle w:val="ListParagraph"/>
        <w:numPr>
          <w:ilvl w:val="0"/>
          <w:numId w:val="20"/>
        </w:numPr>
      </w:pPr>
      <w:r>
        <w:t>Multi-Lingual Software Program*</w:t>
      </w:r>
    </w:p>
    <w:p w:rsidR="002A0434" w:rsidRDefault="002A0434" w:rsidP="00366596">
      <w:r>
        <w:t>*Suggested corporate level strategies.</w:t>
      </w:r>
    </w:p>
    <w:p w:rsidR="002A0434" w:rsidRDefault="002A0434" w:rsidP="008C0CAC">
      <w:pPr>
        <w:pStyle w:val="Heading2"/>
        <w:spacing w:before="0" w:line="240" w:lineRule="auto"/>
      </w:pPr>
      <w:bookmarkStart w:id="26" w:name="_Toc280292417"/>
      <w:bookmarkStart w:id="27" w:name="_Toc280307358"/>
      <w:r>
        <w:t>Demographic Tracking Program</w:t>
      </w:r>
      <w:bookmarkEnd w:id="26"/>
      <w:bookmarkEnd w:id="27"/>
    </w:p>
    <w:p w:rsidR="002A0434" w:rsidRDefault="002A0434" w:rsidP="00366596">
      <w:r>
        <w:tab/>
        <w:t>Information is a powerful tool that we can use to forecast our future. Currently, client demographics are not being saved or sampled. This create</w:t>
      </w:r>
      <w:r w:rsidR="00A95830">
        <w:t>s</w:t>
      </w:r>
      <w:r>
        <w:t xml:space="preserve"> complication</w:t>
      </w:r>
      <w:r w:rsidR="00A95830">
        <w:t>s</w:t>
      </w:r>
      <w:r>
        <w:t xml:space="preserve"> in measuring the effectiveness of</w:t>
      </w:r>
      <w:r w:rsidR="00A95830">
        <w:t xml:space="preserve"> any strategy that is</w:t>
      </w:r>
      <w:r>
        <w:t xml:space="preserve"> to increase a specific demographic. We strongly suggest</w:t>
      </w:r>
      <w:r w:rsidR="00D85788">
        <w:t xml:space="preserve"> that</w:t>
      </w:r>
      <w:r>
        <w:t xml:space="preserve"> at </w:t>
      </w:r>
      <w:r w:rsidR="00D85788">
        <w:t>least an office level, and if possible district level,</w:t>
      </w:r>
      <w:r>
        <w:t xml:space="preserve"> commence tracking </w:t>
      </w:r>
      <w:r w:rsidR="00D85788">
        <w:t xml:space="preserve">on </w:t>
      </w:r>
      <w:r>
        <w:t>return</w:t>
      </w:r>
      <w:r w:rsidR="00D85788">
        <w:t>s</w:t>
      </w:r>
      <w:r>
        <w:t xml:space="preserve"> done in </w:t>
      </w:r>
      <w:r>
        <w:lastRenderedPageBreak/>
        <w:t>a foreign language</w:t>
      </w:r>
      <w:r w:rsidR="00D85788">
        <w:t xml:space="preserve">.  This will include information as </w:t>
      </w:r>
      <w:r w:rsidR="00294DBF">
        <w:t>to who</w:t>
      </w:r>
      <w:r w:rsidR="00673D0E">
        <w:t xml:space="preserve"> was serviced, </w:t>
      </w:r>
      <w:r>
        <w:t xml:space="preserve">what language, </w:t>
      </w:r>
      <w:r w:rsidR="00673D0E">
        <w:t xml:space="preserve">products </w:t>
      </w:r>
      <w:r>
        <w:t>and</w:t>
      </w:r>
      <w:r w:rsidR="00673D0E">
        <w:t xml:space="preserve"> service they received</w:t>
      </w:r>
      <w:r>
        <w:t xml:space="preserve">. This would enable the office to track the return on investment, follow benchmarks, and discoverer insight. </w:t>
      </w:r>
    </w:p>
    <w:p w:rsidR="002A0434" w:rsidRPr="00B20484" w:rsidRDefault="00294DBF" w:rsidP="0054745A">
      <w:pPr>
        <w:pStyle w:val="Heading3"/>
      </w:pPr>
      <w:bookmarkStart w:id="28" w:name="_Toc280307359"/>
      <w:r>
        <w:t>Milestone: Track</w:t>
      </w:r>
      <w:r w:rsidR="002A0434">
        <w:t xml:space="preserve"> the clients demographic information for 20% of services rendered</w:t>
      </w:r>
      <w:bookmarkEnd w:id="28"/>
    </w:p>
    <w:p w:rsidR="00464FE1" w:rsidRDefault="00464FE1" w:rsidP="008C0CAC">
      <w:pPr>
        <w:pStyle w:val="Heading2"/>
        <w:spacing w:before="0" w:line="240" w:lineRule="auto"/>
      </w:pPr>
    </w:p>
    <w:p w:rsidR="002A0434" w:rsidRDefault="002A0434" w:rsidP="008C0CAC">
      <w:pPr>
        <w:pStyle w:val="Heading2"/>
        <w:spacing w:before="0" w:line="240" w:lineRule="auto"/>
      </w:pPr>
      <w:bookmarkStart w:id="29" w:name="_Toc280292419"/>
      <w:bookmarkStart w:id="30" w:name="_Toc280307360"/>
      <w:r>
        <w:t>Multi-Lingual Software Program</w:t>
      </w:r>
      <w:bookmarkEnd w:id="29"/>
      <w:bookmarkEnd w:id="30"/>
    </w:p>
    <w:p w:rsidR="002A0434" w:rsidRDefault="002A0434" w:rsidP="00366596">
      <w:r>
        <w:tab/>
        <w:t xml:space="preserve">In order to have a successful implementation of diversity in the claims handle, the available of H&amp;R Block software needs to be addressed. While this is a corporate level strategy we believe it is important to note because it holds a critical role in the IFAS analysis. </w:t>
      </w:r>
    </w:p>
    <w:p w:rsidR="002A0434" w:rsidRPr="004029C9" w:rsidRDefault="00294DBF" w:rsidP="0054745A">
      <w:pPr>
        <w:pStyle w:val="Heading3"/>
      </w:pPr>
      <w:bookmarkStart w:id="31" w:name="_Toc280307361"/>
      <w:r>
        <w:t>Milestone: Work</w:t>
      </w:r>
      <w:r w:rsidR="002A0434">
        <w:t xml:space="preserve"> with corporate </w:t>
      </w:r>
      <w:r w:rsidR="000D5621">
        <w:t xml:space="preserve">headquarters </w:t>
      </w:r>
      <w:r>
        <w:t>in developing</w:t>
      </w:r>
      <w:r w:rsidR="000D5621">
        <w:t xml:space="preserve"> </w:t>
      </w:r>
      <w:r w:rsidR="002A0434">
        <w:t xml:space="preserve">Language Packs for </w:t>
      </w:r>
      <w:r w:rsidR="000D5621">
        <w:t xml:space="preserve">H&amp;R Block </w:t>
      </w:r>
      <w:r w:rsidR="002A0434">
        <w:t>Tax Preparation software.</w:t>
      </w:r>
      <w:bookmarkEnd w:id="31"/>
    </w:p>
    <w:p w:rsidR="00464FE1" w:rsidRDefault="00464FE1" w:rsidP="008C0CAC">
      <w:pPr>
        <w:pStyle w:val="Heading2"/>
        <w:spacing w:before="0" w:line="240" w:lineRule="auto"/>
      </w:pPr>
    </w:p>
    <w:p w:rsidR="002A0434" w:rsidRDefault="002A0434" w:rsidP="008C0CAC">
      <w:pPr>
        <w:pStyle w:val="Heading2"/>
        <w:spacing w:before="0" w:line="240" w:lineRule="auto"/>
      </w:pPr>
      <w:bookmarkStart w:id="32" w:name="_Toc280292421"/>
      <w:bookmarkStart w:id="33" w:name="_Toc280307362"/>
      <w:r>
        <w:t>Bi-Lingual Employee Incentive Program - Milestone</w:t>
      </w:r>
      <w:bookmarkEnd w:id="32"/>
      <w:bookmarkEnd w:id="33"/>
    </w:p>
    <w:p w:rsidR="002A0434" w:rsidRDefault="002A0434" w:rsidP="00366596">
      <w:r>
        <w:tab/>
        <w:t>Based on the findings done by this student committee we conclude that there isn’t enough diversification within the H&amp;R Block work force to sustain an increase in Hispanic clients. Begging the question: If Vacaville’s population is 17.9% Hispanic why is it that there is less than 17.9% Hispanic seasonal tax preparers (based on Q &amp; A with H &amp; R block and the website). Analyzing the census bureau data it can be concluded that there is a strong regression in the growth of the Hispanic population within Vacaville.</w:t>
      </w:r>
    </w:p>
    <w:p w:rsidR="00B22571" w:rsidRDefault="00D46812" w:rsidP="008C0CAC">
      <w:pPr>
        <w:pStyle w:val="Heading2"/>
        <w:spacing w:line="240" w:lineRule="auto"/>
      </w:pPr>
      <w:bookmarkStart w:id="34" w:name="_Toc280292422"/>
      <w:bookmarkStart w:id="35" w:name="_Toc280307363"/>
      <w:r>
        <w:t>Hispanic Regression</w:t>
      </w:r>
      <w:bookmarkEnd w:id="34"/>
      <w:bookmarkEnd w:id="35"/>
    </w:p>
    <w:p w:rsidR="002A0434" w:rsidRDefault="002A0434" w:rsidP="00366596">
      <w:r>
        <w:t xml:space="preserve"> The regression table for the growth of Hispanic population is as follows: </w:t>
      </w:r>
    </w:p>
    <w:tbl>
      <w:tblPr>
        <w:tblStyle w:val="LightList-Accent5"/>
        <w:tblW w:w="5180" w:type="dxa"/>
        <w:tblLook w:val="04A0" w:firstRow="1" w:lastRow="0" w:firstColumn="1" w:lastColumn="0" w:noHBand="0" w:noVBand="1"/>
      </w:tblPr>
      <w:tblGrid>
        <w:gridCol w:w="3012"/>
        <w:gridCol w:w="2168"/>
      </w:tblGrid>
      <w:tr w:rsidR="002A0434" w:rsidRPr="00D41606" w:rsidTr="00E517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80" w:type="dxa"/>
            <w:gridSpan w:val="2"/>
            <w:noWrap/>
            <w:hideMark/>
          </w:tcPr>
          <w:p w:rsidR="002A0434" w:rsidRPr="00D41606" w:rsidRDefault="002A0434" w:rsidP="00366596">
            <w:pPr>
              <w:pStyle w:val="NoSpacing"/>
              <w:rPr>
                <w:rFonts w:eastAsia="Times New Roman"/>
              </w:rPr>
            </w:pPr>
            <w:r w:rsidRPr="00D41606">
              <w:rPr>
                <w:rFonts w:eastAsia="Times New Roman"/>
              </w:rPr>
              <w:t>Regression Statistics</w:t>
            </w:r>
          </w:p>
        </w:tc>
      </w:tr>
      <w:tr w:rsidR="002A0434" w:rsidRPr="00D41606" w:rsidTr="00E51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2" w:type="dxa"/>
            <w:noWrap/>
            <w:hideMark/>
          </w:tcPr>
          <w:p w:rsidR="002A0434" w:rsidRPr="00D41606" w:rsidRDefault="002A0434" w:rsidP="00366596">
            <w:pPr>
              <w:pStyle w:val="NoSpacing"/>
              <w:rPr>
                <w:rFonts w:eastAsia="Times New Roman"/>
              </w:rPr>
            </w:pPr>
            <w:r w:rsidRPr="00D41606">
              <w:rPr>
                <w:rFonts w:eastAsia="Times New Roman"/>
              </w:rPr>
              <w:t>Multiple R</w:t>
            </w:r>
          </w:p>
        </w:tc>
        <w:tc>
          <w:tcPr>
            <w:tcW w:w="2168" w:type="dxa"/>
            <w:noWrap/>
            <w:hideMark/>
          </w:tcPr>
          <w:p w:rsidR="002A0434" w:rsidRPr="00D41606" w:rsidRDefault="002A0434" w:rsidP="00366596">
            <w:pPr>
              <w:pStyle w:val="NoSpacing"/>
              <w:cnfStyle w:val="000000100000" w:firstRow="0" w:lastRow="0" w:firstColumn="0" w:lastColumn="0" w:oddVBand="0" w:evenVBand="0" w:oddHBand="1" w:evenHBand="0" w:firstRowFirstColumn="0" w:firstRowLastColumn="0" w:lastRowFirstColumn="0" w:lastRowLastColumn="0"/>
              <w:rPr>
                <w:rFonts w:eastAsia="Times New Roman"/>
              </w:rPr>
            </w:pPr>
            <w:r w:rsidRPr="00D41606">
              <w:rPr>
                <w:rFonts w:eastAsia="Times New Roman"/>
              </w:rPr>
              <w:t>0.989418613</w:t>
            </w:r>
          </w:p>
        </w:tc>
      </w:tr>
      <w:tr w:rsidR="002A0434" w:rsidRPr="00D41606" w:rsidTr="00E51736">
        <w:trPr>
          <w:trHeight w:val="300"/>
        </w:trPr>
        <w:tc>
          <w:tcPr>
            <w:cnfStyle w:val="001000000000" w:firstRow="0" w:lastRow="0" w:firstColumn="1" w:lastColumn="0" w:oddVBand="0" w:evenVBand="0" w:oddHBand="0" w:evenHBand="0" w:firstRowFirstColumn="0" w:firstRowLastColumn="0" w:lastRowFirstColumn="0" w:lastRowLastColumn="0"/>
            <w:tcW w:w="3012" w:type="dxa"/>
            <w:noWrap/>
            <w:hideMark/>
          </w:tcPr>
          <w:p w:rsidR="002A0434" w:rsidRPr="00D41606" w:rsidRDefault="002A0434" w:rsidP="00366596">
            <w:pPr>
              <w:pStyle w:val="NoSpacing"/>
              <w:rPr>
                <w:rFonts w:eastAsia="Times New Roman"/>
              </w:rPr>
            </w:pPr>
            <w:r w:rsidRPr="00D41606">
              <w:rPr>
                <w:rFonts w:eastAsia="Times New Roman"/>
              </w:rPr>
              <w:t>R Square</w:t>
            </w:r>
          </w:p>
        </w:tc>
        <w:tc>
          <w:tcPr>
            <w:tcW w:w="2168" w:type="dxa"/>
            <w:noWrap/>
            <w:hideMark/>
          </w:tcPr>
          <w:p w:rsidR="002A0434" w:rsidRPr="00D41606" w:rsidRDefault="002A0434" w:rsidP="00366596">
            <w:pPr>
              <w:pStyle w:val="NoSpacing"/>
              <w:cnfStyle w:val="000000000000" w:firstRow="0" w:lastRow="0" w:firstColumn="0" w:lastColumn="0" w:oddVBand="0" w:evenVBand="0" w:oddHBand="0" w:evenHBand="0" w:firstRowFirstColumn="0" w:firstRowLastColumn="0" w:lastRowFirstColumn="0" w:lastRowLastColumn="0"/>
              <w:rPr>
                <w:rFonts w:eastAsia="Times New Roman"/>
              </w:rPr>
            </w:pPr>
            <w:r w:rsidRPr="00D41606">
              <w:rPr>
                <w:rFonts w:eastAsia="Times New Roman"/>
              </w:rPr>
              <w:t>0.978949192</w:t>
            </w:r>
          </w:p>
        </w:tc>
      </w:tr>
      <w:tr w:rsidR="002A0434" w:rsidRPr="00D41606" w:rsidTr="00E51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2" w:type="dxa"/>
            <w:noWrap/>
            <w:hideMark/>
          </w:tcPr>
          <w:p w:rsidR="002A0434" w:rsidRPr="00D41606" w:rsidRDefault="002A0434" w:rsidP="00366596">
            <w:pPr>
              <w:pStyle w:val="NoSpacing"/>
              <w:rPr>
                <w:rFonts w:eastAsia="Times New Roman"/>
              </w:rPr>
            </w:pPr>
            <w:r w:rsidRPr="00D41606">
              <w:rPr>
                <w:rFonts w:eastAsia="Times New Roman"/>
              </w:rPr>
              <w:t>Adjusted R Square</w:t>
            </w:r>
          </w:p>
        </w:tc>
        <w:tc>
          <w:tcPr>
            <w:tcW w:w="2168" w:type="dxa"/>
            <w:noWrap/>
            <w:hideMark/>
          </w:tcPr>
          <w:p w:rsidR="002A0434" w:rsidRPr="00D41606" w:rsidRDefault="002A0434" w:rsidP="00366596">
            <w:pPr>
              <w:pStyle w:val="NoSpacing"/>
              <w:cnfStyle w:val="000000100000" w:firstRow="0" w:lastRow="0" w:firstColumn="0" w:lastColumn="0" w:oddVBand="0" w:evenVBand="0" w:oddHBand="1" w:evenHBand="0" w:firstRowFirstColumn="0" w:firstRowLastColumn="0" w:lastRowFirstColumn="0" w:lastRowLastColumn="0"/>
              <w:rPr>
                <w:rFonts w:eastAsia="Times New Roman"/>
              </w:rPr>
            </w:pPr>
            <w:r w:rsidRPr="00D41606">
              <w:rPr>
                <w:rFonts w:eastAsia="Times New Roman"/>
              </w:rPr>
              <w:t>0.968423788</w:t>
            </w:r>
          </w:p>
        </w:tc>
      </w:tr>
      <w:tr w:rsidR="002A0434" w:rsidRPr="00D41606" w:rsidTr="00E51736">
        <w:trPr>
          <w:trHeight w:val="300"/>
        </w:trPr>
        <w:tc>
          <w:tcPr>
            <w:cnfStyle w:val="001000000000" w:firstRow="0" w:lastRow="0" w:firstColumn="1" w:lastColumn="0" w:oddVBand="0" w:evenVBand="0" w:oddHBand="0" w:evenHBand="0" w:firstRowFirstColumn="0" w:firstRowLastColumn="0" w:lastRowFirstColumn="0" w:lastRowLastColumn="0"/>
            <w:tcW w:w="3012" w:type="dxa"/>
            <w:noWrap/>
            <w:hideMark/>
          </w:tcPr>
          <w:p w:rsidR="002A0434" w:rsidRPr="00D41606" w:rsidRDefault="002A0434" w:rsidP="00366596">
            <w:pPr>
              <w:pStyle w:val="NoSpacing"/>
              <w:rPr>
                <w:rFonts w:eastAsia="Times New Roman"/>
              </w:rPr>
            </w:pPr>
            <w:r w:rsidRPr="00D41606">
              <w:rPr>
                <w:rFonts w:eastAsia="Times New Roman"/>
              </w:rPr>
              <w:t>Standard Error</w:t>
            </w:r>
          </w:p>
        </w:tc>
        <w:tc>
          <w:tcPr>
            <w:tcW w:w="2168" w:type="dxa"/>
            <w:noWrap/>
            <w:hideMark/>
          </w:tcPr>
          <w:p w:rsidR="002A0434" w:rsidRPr="00D41606" w:rsidRDefault="002A0434" w:rsidP="00366596">
            <w:pPr>
              <w:pStyle w:val="NoSpacing"/>
              <w:cnfStyle w:val="000000000000" w:firstRow="0" w:lastRow="0" w:firstColumn="0" w:lastColumn="0" w:oddVBand="0" w:evenVBand="0" w:oddHBand="0" w:evenHBand="0" w:firstRowFirstColumn="0" w:firstRowLastColumn="0" w:lastRowFirstColumn="0" w:lastRowLastColumn="0"/>
              <w:rPr>
                <w:rFonts w:eastAsia="Times New Roman"/>
              </w:rPr>
            </w:pPr>
            <w:r w:rsidRPr="00D41606">
              <w:rPr>
                <w:rFonts w:eastAsia="Times New Roman"/>
              </w:rPr>
              <w:t>1055.075234</w:t>
            </w:r>
          </w:p>
        </w:tc>
      </w:tr>
    </w:tbl>
    <w:p w:rsidR="002A0434" w:rsidRDefault="002A0434" w:rsidP="00366596">
      <w:r>
        <w:t>Basic Formula derived from the Coefficients.</w:t>
      </w:r>
    </w:p>
    <w:p w:rsidR="002A0434" w:rsidRDefault="002A0434" w:rsidP="00366596">
      <w:r>
        <w:t xml:space="preserve"> Hispanic Population</w:t>
      </w:r>
      <w:r w:rsidRPr="00D41606">
        <w:t xml:space="preserve"> = -894550 * (Year Date * 455.05)</w:t>
      </w:r>
    </w:p>
    <w:p w:rsidR="00B22571" w:rsidRDefault="00D46812" w:rsidP="008C0CAC">
      <w:pPr>
        <w:pStyle w:val="Heading2"/>
        <w:spacing w:line="240" w:lineRule="auto"/>
      </w:pPr>
      <w:bookmarkStart w:id="36" w:name="_Toc280292423"/>
      <w:bookmarkStart w:id="37" w:name="_Toc280307364"/>
      <w:r>
        <w:t>Population Regression</w:t>
      </w:r>
      <w:bookmarkEnd w:id="36"/>
      <w:bookmarkEnd w:id="37"/>
    </w:p>
    <w:p w:rsidR="002A0434" w:rsidRDefault="002A0434" w:rsidP="00366596">
      <w:r>
        <w:t>The regression table for the total population growth is as follows:</w:t>
      </w:r>
    </w:p>
    <w:tbl>
      <w:tblPr>
        <w:tblStyle w:val="LightList-Accent5"/>
        <w:tblW w:w="4060" w:type="dxa"/>
        <w:tblLook w:val="04A0" w:firstRow="1" w:lastRow="0" w:firstColumn="1" w:lastColumn="0" w:noHBand="0" w:noVBand="1"/>
      </w:tblPr>
      <w:tblGrid>
        <w:gridCol w:w="2361"/>
        <w:gridCol w:w="1699"/>
      </w:tblGrid>
      <w:tr w:rsidR="002A0434" w:rsidRPr="00A72564" w:rsidTr="00590CA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060" w:type="dxa"/>
            <w:gridSpan w:val="2"/>
            <w:shd w:val="clear" w:color="auto" w:fill="496617" w:themeFill="accent5" w:themeFillShade="BF"/>
            <w:noWrap/>
            <w:hideMark/>
          </w:tcPr>
          <w:p w:rsidR="002A0434" w:rsidRPr="00590CA8" w:rsidRDefault="002A0434" w:rsidP="00D80EEC">
            <w:pPr>
              <w:pStyle w:val="Heading5"/>
              <w:outlineLvl w:val="4"/>
              <w:rPr>
                <w:rFonts w:eastAsia="Times New Roman"/>
                <w:color w:val="FFFFFF" w:themeColor="background1"/>
              </w:rPr>
            </w:pPr>
            <w:r w:rsidRPr="00590CA8">
              <w:rPr>
                <w:rFonts w:eastAsia="Times New Roman"/>
                <w:color w:val="FFFFFF" w:themeColor="background1"/>
              </w:rPr>
              <w:lastRenderedPageBreak/>
              <w:t>Regression Statistics</w:t>
            </w:r>
          </w:p>
        </w:tc>
      </w:tr>
      <w:tr w:rsidR="002A0434" w:rsidRPr="00A72564" w:rsidTr="00E51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1" w:type="dxa"/>
            <w:noWrap/>
            <w:hideMark/>
          </w:tcPr>
          <w:p w:rsidR="002A0434" w:rsidRPr="00A72564" w:rsidRDefault="002A0434" w:rsidP="00366596">
            <w:pPr>
              <w:pStyle w:val="NoSpacing"/>
              <w:rPr>
                <w:rFonts w:eastAsia="Times New Roman"/>
              </w:rPr>
            </w:pPr>
            <w:r w:rsidRPr="00A72564">
              <w:rPr>
                <w:rFonts w:eastAsia="Times New Roman"/>
              </w:rPr>
              <w:t>Multiple R</w:t>
            </w:r>
          </w:p>
        </w:tc>
        <w:tc>
          <w:tcPr>
            <w:tcW w:w="1699" w:type="dxa"/>
            <w:noWrap/>
            <w:hideMark/>
          </w:tcPr>
          <w:p w:rsidR="002A0434" w:rsidRPr="00A72564" w:rsidRDefault="002A0434" w:rsidP="00366596">
            <w:pPr>
              <w:pStyle w:val="NoSpacing"/>
              <w:cnfStyle w:val="000000100000" w:firstRow="0" w:lastRow="0" w:firstColumn="0" w:lastColumn="0" w:oddVBand="0" w:evenVBand="0" w:oddHBand="1" w:evenHBand="0" w:firstRowFirstColumn="0" w:firstRowLastColumn="0" w:lastRowFirstColumn="0" w:lastRowLastColumn="0"/>
              <w:rPr>
                <w:rFonts w:eastAsia="Times New Roman"/>
              </w:rPr>
            </w:pPr>
            <w:r w:rsidRPr="00A72564">
              <w:rPr>
                <w:rFonts w:eastAsia="Times New Roman"/>
              </w:rPr>
              <w:t>0.996148527</w:t>
            </w:r>
          </w:p>
        </w:tc>
      </w:tr>
      <w:tr w:rsidR="002A0434" w:rsidRPr="00A72564" w:rsidTr="00E51736">
        <w:trPr>
          <w:trHeight w:val="300"/>
        </w:trPr>
        <w:tc>
          <w:tcPr>
            <w:cnfStyle w:val="001000000000" w:firstRow="0" w:lastRow="0" w:firstColumn="1" w:lastColumn="0" w:oddVBand="0" w:evenVBand="0" w:oddHBand="0" w:evenHBand="0" w:firstRowFirstColumn="0" w:firstRowLastColumn="0" w:lastRowFirstColumn="0" w:lastRowLastColumn="0"/>
            <w:tcW w:w="2361" w:type="dxa"/>
            <w:noWrap/>
            <w:hideMark/>
          </w:tcPr>
          <w:p w:rsidR="002A0434" w:rsidRPr="00A72564" w:rsidRDefault="002A0434" w:rsidP="00366596">
            <w:pPr>
              <w:pStyle w:val="NoSpacing"/>
              <w:rPr>
                <w:rFonts w:eastAsia="Times New Roman"/>
              </w:rPr>
            </w:pPr>
            <w:r w:rsidRPr="00A72564">
              <w:rPr>
                <w:rFonts w:eastAsia="Times New Roman"/>
              </w:rPr>
              <w:t>R Square</w:t>
            </w:r>
          </w:p>
        </w:tc>
        <w:tc>
          <w:tcPr>
            <w:tcW w:w="1699" w:type="dxa"/>
            <w:noWrap/>
            <w:hideMark/>
          </w:tcPr>
          <w:p w:rsidR="002A0434" w:rsidRPr="00A72564" w:rsidRDefault="002A0434" w:rsidP="00366596">
            <w:pPr>
              <w:pStyle w:val="NoSpacing"/>
              <w:cnfStyle w:val="000000000000" w:firstRow="0" w:lastRow="0" w:firstColumn="0" w:lastColumn="0" w:oddVBand="0" w:evenVBand="0" w:oddHBand="0" w:evenHBand="0" w:firstRowFirstColumn="0" w:firstRowLastColumn="0" w:lastRowFirstColumn="0" w:lastRowLastColumn="0"/>
              <w:rPr>
                <w:rFonts w:eastAsia="Times New Roman"/>
              </w:rPr>
            </w:pPr>
            <w:r w:rsidRPr="00A72564">
              <w:rPr>
                <w:rFonts w:eastAsia="Times New Roman"/>
              </w:rPr>
              <w:t>0.992311887</w:t>
            </w:r>
          </w:p>
        </w:tc>
      </w:tr>
      <w:tr w:rsidR="002A0434" w:rsidRPr="00A72564" w:rsidTr="00E517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1" w:type="dxa"/>
            <w:noWrap/>
            <w:hideMark/>
          </w:tcPr>
          <w:p w:rsidR="002A0434" w:rsidRPr="00A72564" w:rsidRDefault="002A0434" w:rsidP="00366596">
            <w:pPr>
              <w:pStyle w:val="NoSpacing"/>
              <w:rPr>
                <w:rFonts w:eastAsia="Times New Roman"/>
              </w:rPr>
            </w:pPr>
            <w:r w:rsidRPr="00A72564">
              <w:rPr>
                <w:rFonts w:eastAsia="Times New Roman"/>
              </w:rPr>
              <w:t>Adjusted R Square</w:t>
            </w:r>
          </w:p>
        </w:tc>
        <w:tc>
          <w:tcPr>
            <w:tcW w:w="1699" w:type="dxa"/>
            <w:noWrap/>
            <w:hideMark/>
          </w:tcPr>
          <w:p w:rsidR="002A0434" w:rsidRPr="00A72564" w:rsidRDefault="002A0434" w:rsidP="00366596">
            <w:pPr>
              <w:pStyle w:val="NoSpacing"/>
              <w:cnfStyle w:val="000000100000" w:firstRow="0" w:lastRow="0" w:firstColumn="0" w:lastColumn="0" w:oddVBand="0" w:evenVBand="0" w:oddHBand="1" w:evenHBand="0" w:firstRowFirstColumn="0" w:firstRowLastColumn="0" w:lastRowFirstColumn="0" w:lastRowLastColumn="0"/>
              <w:rPr>
                <w:rFonts w:eastAsia="Times New Roman"/>
              </w:rPr>
            </w:pPr>
            <w:r w:rsidRPr="00A72564">
              <w:rPr>
                <w:rFonts w:eastAsia="Times New Roman"/>
              </w:rPr>
              <w:t>0.988467831</w:t>
            </w:r>
          </w:p>
        </w:tc>
      </w:tr>
      <w:tr w:rsidR="002A0434" w:rsidRPr="00A72564" w:rsidTr="00E51736">
        <w:trPr>
          <w:trHeight w:val="300"/>
        </w:trPr>
        <w:tc>
          <w:tcPr>
            <w:cnfStyle w:val="001000000000" w:firstRow="0" w:lastRow="0" w:firstColumn="1" w:lastColumn="0" w:oddVBand="0" w:evenVBand="0" w:oddHBand="0" w:evenHBand="0" w:firstRowFirstColumn="0" w:firstRowLastColumn="0" w:lastRowFirstColumn="0" w:lastRowLastColumn="0"/>
            <w:tcW w:w="2361" w:type="dxa"/>
            <w:noWrap/>
            <w:hideMark/>
          </w:tcPr>
          <w:p w:rsidR="002A0434" w:rsidRPr="00A72564" w:rsidRDefault="002A0434" w:rsidP="00366596">
            <w:pPr>
              <w:pStyle w:val="NoSpacing"/>
              <w:rPr>
                <w:rFonts w:eastAsia="Times New Roman"/>
              </w:rPr>
            </w:pPr>
            <w:r w:rsidRPr="00A72564">
              <w:rPr>
                <w:rFonts w:eastAsia="Times New Roman"/>
              </w:rPr>
              <w:t>Standard Error</w:t>
            </w:r>
          </w:p>
        </w:tc>
        <w:tc>
          <w:tcPr>
            <w:tcW w:w="1699" w:type="dxa"/>
            <w:noWrap/>
            <w:hideMark/>
          </w:tcPr>
          <w:p w:rsidR="002A0434" w:rsidRPr="00A72564" w:rsidRDefault="002A0434" w:rsidP="00366596">
            <w:pPr>
              <w:pStyle w:val="NoSpacing"/>
              <w:cnfStyle w:val="000000000000" w:firstRow="0" w:lastRow="0" w:firstColumn="0" w:lastColumn="0" w:oddVBand="0" w:evenVBand="0" w:oddHBand="0" w:evenHBand="0" w:firstRowFirstColumn="0" w:firstRowLastColumn="0" w:lastRowFirstColumn="0" w:lastRowLastColumn="0"/>
              <w:rPr>
                <w:rFonts w:eastAsia="Times New Roman"/>
              </w:rPr>
            </w:pPr>
            <w:r w:rsidRPr="00A72564">
              <w:rPr>
                <w:rFonts w:eastAsia="Times New Roman"/>
              </w:rPr>
              <w:t>3186.051498</w:t>
            </w:r>
          </w:p>
        </w:tc>
      </w:tr>
    </w:tbl>
    <w:p w:rsidR="002A0434" w:rsidRDefault="002A0434" w:rsidP="00366596">
      <w:r>
        <w:t>Basic Formula derived from the Coefficients.</w:t>
      </w:r>
    </w:p>
    <w:p w:rsidR="002A0434" w:rsidRDefault="002A0434" w:rsidP="00366596">
      <w:r w:rsidRPr="00A72564">
        <w:t>Total Population = -4487913.2 + (Year * 2289.27)</w:t>
      </w:r>
    </w:p>
    <w:p w:rsidR="002A0434" w:rsidRDefault="002A0434" w:rsidP="00366596">
      <w:r>
        <w:t>(Percentage of Hispanic Populations) = (Hispanic Population) / (Total Population of Vacaville).</w:t>
      </w:r>
    </w:p>
    <w:p w:rsidR="002A0434" w:rsidRDefault="002A0434" w:rsidP="00366596">
      <w:pPr>
        <w:ind w:firstLine="720"/>
      </w:pPr>
      <w:r>
        <w:t xml:space="preserve">Based on these equations the total population of Vacaville is 124,966. The forecasted Hispanic population is 22,376. Thus we can conclude using regression that the percentage of Hispanics in Vacaville in 2015 will be approximately 17.9%.  This model creates a truly diversified workforce benchmark that would facilitate acquiring new clients at a precise local demographic in a nation-wide service marketplace. If every local H&amp;R Block implemented this benchmark they would benefit from overall market penetration at a local level by leveraging the Tax Prepares maintained client network (retention).  </w:t>
      </w:r>
    </w:p>
    <w:p w:rsidR="002A0434" w:rsidRDefault="002A0434" w:rsidP="00366596">
      <w:pPr>
        <w:ind w:firstLine="720"/>
      </w:pPr>
      <w:r>
        <w:t>To meet this milestone we advise the 3035 Alamo</w:t>
      </w:r>
      <w:r w:rsidR="00A64E47">
        <w:t xml:space="preserve"> Office of H&amp;R Block to create</w:t>
      </w:r>
      <w:r>
        <w:t xml:space="preserve"> Bi-Lingual Employee incentive programs to attract Tax Prepares from diverse ethnic backgrounds.</w:t>
      </w:r>
    </w:p>
    <w:p w:rsidR="002A0434" w:rsidRPr="00464FE1" w:rsidRDefault="002A0434" w:rsidP="00464FE1">
      <w:pPr>
        <w:pStyle w:val="Heading3"/>
      </w:pPr>
      <w:bookmarkStart w:id="38" w:name="_Toc280292424"/>
      <w:bookmarkStart w:id="39" w:name="_Toc280307365"/>
      <w:r w:rsidRPr="00464FE1">
        <w:t>Multi-Lingual Influence</w:t>
      </w:r>
      <w:bookmarkEnd w:id="38"/>
      <w:bookmarkEnd w:id="39"/>
    </w:p>
    <w:p w:rsidR="002A0434" w:rsidRDefault="002A0434" w:rsidP="00366596">
      <w:pPr>
        <w:ind w:firstLine="720"/>
      </w:pPr>
      <w:r>
        <w:t>Multi-Lingual Influence is an incentive program to promote Tax Prepares to utilize their clients primary language. A minimal 5% premium for services rendered in a foreign language would attract and retain more bi-lingual employees. Furthermore, speaking two or more languages is a noteworthy skill that should be rewarded</w:t>
      </w:r>
    </w:p>
    <w:p w:rsidR="002A0434" w:rsidRDefault="002A0434" w:rsidP="008C0CAC">
      <w:pPr>
        <w:pStyle w:val="Heading2"/>
        <w:spacing w:before="0" w:line="240" w:lineRule="auto"/>
      </w:pPr>
      <w:bookmarkStart w:id="40" w:name="_Toc280292425"/>
      <w:bookmarkStart w:id="41" w:name="_Toc280307366"/>
      <w:r w:rsidRPr="00464FE1">
        <w:t>Employee Acquisition and Retention Program (EARP</w:t>
      </w:r>
      <w:r>
        <w:t>)</w:t>
      </w:r>
      <w:bookmarkEnd w:id="40"/>
      <w:bookmarkEnd w:id="41"/>
    </w:p>
    <w:p w:rsidR="002A0434" w:rsidRDefault="002A0434" w:rsidP="00366596">
      <w:pPr>
        <w:ind w:firstLine="720"/>
      </w:pPr>
      <w:r>
        <w:t xml:space="preserve">EARP is a guerilla marketing strategy.  H&amp;R Block maintains an excellent competitive edge because of its inter-office independence.  It allows the offices to concentrate on its local demographics. Each office will have a mandatory district marketing plan targeting specifically the steps to acquire and retain </w:t>
      </w:r>
      <w:r w:rsidRPr="004F02C0">
        <w:rPr>
          <w:b/>
        </w:rPr>
        <w:t>employees and clients</w:t>
      </w:r>
      <w:r>
        <w:t>.</w:t>
      </w:r>
    </w:p>
    <w:p w:rsidR="002A0434" w:rsidRPr="001F496F" w:rsidRDefault="00294DBF" w:rsidP="0054745A">
      <w:pPr>
        <w:pStyle w:val="Heading3"/>
      </w:pPr>
      <w:bookmarkStart w:id="42" w:name="_Toc280307367"/>
      <w:r>
        <w:lastRenderedPageBreak/>
        <w:t>Milestone: Every</w:t>
      </w:r>
      <w:r w:rsidR="002A0434">
        <w:t xml:space="preserve"> store in district creates an EARP Marketing plan that specifically targets the demographic in their city.</w:t>
      </w:r>
      <w:bookmarkEnd w:id="42"/>
    </w:p>
    <w:p w:rsidR="002A0434" w:rsidRPr="00BB2FE8" w:rsidRDefault="002A0434" w:rsidP="00BB2FE8">
      <w:pPr>
        <w:pStyle w:val="Heading2"/>
      </w:pPr>
      <w:bookmarkStart w:id="43" w:name="_Toc280292427"/>
      <w:bookmarkStart w:id="44" w:name="_Toc280307368"/>
      <w:r w:rsidRPr="00BB2FE8">
        <w:t>3035 Alamo Office EARP</w:t>
      </w:r>
      <w:bookmarkEnd w:id="43"/>
      <w:bookmarkEnd w:id="44"/>
    </w:p>
    <w:p w:rsidR="002A0434" w:rsidRDefault="002A0434" w:rsidP="00BB2FE8">
      <w:pPr>
        <w:pStyle w:val="Heading3"/>
      </w:pPr>
      <w:bookmarkStart w:id="45" w:name="_Toc280292428"/>
      <w:bookmarkStart w:id="46" w:name="_Toc280307369"/>
      <w:r>
        <w:t>Hispanic Grass Roots Promotion Program</w:t>
      </w:r>
      <w:bookmarkEnd w:id="45"/>
      <w:bookmarkEnd w:id="46"/>
    </w:p>
    <w:p w:rsidR="002A0434" w:rsidRDefault="002A0434" w:rsidP="00366596">
      <w:r>
        <w:tab/>
        <w:t>The Hispanic Grass Roots</w:t>
      </w:r>
      <w:r w:rsidR="002E6478">
        <w:t xml:space="preserve"> Community Cultivation program</w:t>
      </w:r>
      <w:r>
        <w:t xml:space="preserve"> is a marketing strategy that would target Popular Hispanic Area’s with minor promotions, and scholarship opportunities. This will be funded by revenue acquired by services rendered in a foreign language. This will create a sustaining cycle and decrease the overall impact if the program fails. Total Promotions and Scholarships would not be greater than 3% of revenue. </w:t>
      </w:r>
    </w:p>
    <w:p w:rsidR="002A0434" w:rsidRPr="00BB2FE8" w:rsidRDefault="00294DBF" w:rsidP="00BB2FE8">
      <w:pPr>
        <w:pStyle w:val="Heading3"/>
      </w:pPr>
      <w:bookmarkStart w:id="47" w:name="_Toc280307370"/>
      <w:r w:rsidRPr="00BB2FE8">
        <w:t>Milestones: Give</w:t>
      </w:r>
      <w:r w:rsidR="002A0434" w:rsidRPr="00BB2FE8">
        <w:t xml:space="preserve"> $3,000 in Scholarships to Tax Preparations courses to Hispanics.</w:t>
      </w:r>
      <w:bookmarkEnd w:id="47"/>
    </w:p>
    <w:p w:rsidR="002A0434" w:rsidRDefault="002A0434" w:rsidP="0054745A">
      <w:pPr>
        <w:pStyle w:val="Heading2"/>
      </w:pPr>
      <w:bookmarkStart w:id="48" w:name="_Toc280292429"/>
      <w:bookmarkStart w:id="49" w:name="_Toc280307371"/>
      <w:r>
        <w:t>Retention Program</w:t>
      </w:r>
      <w:bookmarkEnd w:id="48"/>
      <w:bookmarkEnd w:id="49"/>
    </w:p>
    <w:p w:rsidR="002A0434" w:rsidRDefault="002A0434" w:rsidP="00366596">
      <w:r>
        <w:tab/>
        <w:t>By giving clients incentive to promote H&amp;R Block, Tax Prepares will expand among their clients trusted social networks. This would involve implementing a referral program that would be a stackable 5% discount on tax services for each referral that results in a sale. This viral marketing technique if balanced may result 20 new potential clients for the price of one. This would have a slow start but will be the greatest driver in sales once critical mass is reached.</w:t>
      </w:r>
    </w:p>
    <w:p w:rsidR="002A0434" w:rsidRDefault="002A0434" w:rsidP="0054745A">
      <w:pPr>
        <w:pStyle w:val="Heading3"/>
      </w:pPr>
      <w:bookmarkStart w:id="50" w:name="_Toc280307372"/>
      <w:r>
        <w:t>Milestone:</w:t>
      </w:r>
      <w:bookmarkEnd w:id="50"/>
    </w:p>
    <w:p w:rsidR="002A0434" w:rsidRDefault="002A0434" w:rsidP="00366596">
      <w:r>
        <w:t>Primary: Acquire 10% of new customers by the use of Referrals by 2015.</w:t>
      </w:r>
    </w:p>
    <w:p w:rsidR="002A0434" w:rsidRPr="00F41486" w:rsidRDefault="002A0434" w:rsidP="00366596">
      <w:r>
        <w:t xml:space="preserve">Secondary: 20% of referred customers are retained the following role to the district in 2015. </w:t>
      </w:r>
    </w:p>
    <w:p w:rsidR="00186F65" w:rsidRDefault="007F1102" w:rsidP="008C0CAC">
      <w:pPr>
        <w:pStyle w:val="Heading1"/>
        <w:spacing w:before="0" w:line="240" w:lineRule="auto"/>
      </w:pPr>
      <w:bookmarkStart w:id="51" w:name="_Toc280292434"/>
      <w:bookmarkStart w:id="52" w:name="_Toc280307373"/>
      <w:r>
        <w:t>Marketing Plan</w:t>
      </w:r>
      <w:bookmarkEnd w:id="51"/>
      <w:bookmarkEnd w:id="52"/>
    </w:p>
    <w:p w:rsidR="00186F65" w:rsidRPr="00BB2FE8" w:rsidRDefault="00186F65" w:rsidP="00BB2FE8">
      <w:pPr>
        <w:pStyle w:val="Heading2"/>
      </w:pPr>
      <w:bookmarkStart w:id="53" w:name="_Toc280292435"/>
      <w:bookmarkStart w:id="54" w:name="_Toc280307374"/>
      <w:r w:rsidRPr="00BB2FE8">
        <w:t>Objective</w:t>
      </w:r>
      <w:bookmarkEnd w:id="53"/>
      <w:bookmarkEnd w:id="54"/>
    </w:p>
    <w:p w:rsidR="00186F65" w:rsidRDefault="00186F65" w:rsidP="00BB2FE8">
      <w:pPr>
        <w:pStyle w:val="ListParagraph"/>
        <w:numPr>
          <w:ilvl w:val="0"/>
          <w:numId w:val="11"/>
        </w:numPr>
      </w:pPr>
      <w:r>
        <w:t>To expand the Latino market share as part of “The Latino Blitz”</w:t>
      </w:r>
    </w:p>
    <w:p w:rsidR="00186F65" w:rsidRDefault="00186F65" w:rsidP="00BB2FE8">
      <w:pPr>
        <w:pStyle w:val="ListParagraph"/>
        <w:numPr>
          <w:ilvl w:val="0"/>
          <w:numId w:val="11"/>
        </w:numPr>
      </w:pPr>
      <w:r>
        <w:t>To provide a</w:t>
      </w:r>
      <w:r w:rsidR="00BB5EFC">
        <w:t>n</w:t>
      </w:r>
      <w:r>
        <w:t xml:space="preserve"> increased level of customer satisfaction to promote social referrals</w:t>
      </w:r>
    </w:p>
    <w:p w:rsidR="00186F65" w:rsidRDefault="00186F65" w:rsidP="00BB2FE8">
      <w:pPr>
        <w:pStyle w:val="ListParagraph"/>
        <w:numPr>
          <w:ilvl w:val="0"/>
          <w:numId w:val="11"/>
        </w:numPr>
      </w:pPr>
      <w:r>
        <w:t>Expand co</w:t>
      </w:r>
      <w:r w:rsidR="007A5458">
        <w:t>mmunity</w:t>
      </w:r>
      <w:r>
        <w:t xml:space="preserve"> (</w:t>
      </w:r>
      <w:r w:rsidR="00BB5EFC">
        <w:t xml:space="preserve">and </w:t>
      </w:r>
      <w:r>
        <w:t>internal) awareness of bi-lingual services</w:t>
      </w:r>
    </w:p>
    <w:p w:rsidR="00186F65" w:rsidRDefault="00186F65" w:rsidP="008C0CAC">
      <w:pPr>
        <w:pStyle w:val="Heading2"/>
        <w:spacing w:before="0" w:line="240" w:lineRule="auto"/>
      </w:pPr>
      <w:bookmarkStart w:id="55" w:name="_Toc280292436"/>
      <w:bookmarkStart w:id="56" w:name="_Toc280307375"/>
      <w:r>
        <w:t>Goals</w:t>
      </w:r>
      <w:bookmarkEnd w:id="55"/>
      <w:bookmarkEnd w:id="56"/>
    </w:p>
    <w:p w:rsidR="00186F65" w:rsidRDefault="00186F65" w:rsidP="00BB2FE8">
      <w:pPr>
        <w:pStyle w:val="ListParagraph"/>
        <w:numPr>
          <w:ilvl w:val="0"/>
          <w:numId w:val="12"/>
        </w:numPr>
      </w:pPr>
      <w:r>
        <w:t>To increase Hispanic market share</w:t>
      </w:r>
    </w:p>
    <w:p w:rsidR="00186F65" w:rsidRDefault="00186F65" w:rsidP="00BB2FE8">
      <w:pPr>
        <w:pStyle w:val="ListParagraph"/>
        <w:numPr>
          <w:ilvl w:val="0"/>
          <w:numId w:val="12"/>
        </w:numPr>
      </w:pPr>
      <w:r w:rsidRPr="0035219F">
        <w:lastRenderedPageBreak/>
        <w:t xml:space="preserve">To increase the relationship with the Latino community with the intent of establishing </w:t>
      </w:r>
      <w:r w:rsidR="00BB5EFC">
        <w:t xml:space="preserve">a </w:t>
      </w:r>
      <w:r w:rsidRPr="0035219F">
        <w:t>long term relationship with these clients.</w:t>
      </w:r>
    </w:p>
    <w:p w:rsidR="00186F65" w:rsidRPr="0035219F" w:rsidRDefault="00186F65" w:rsidP="00BB2FE8">
      <w:pPr>
        <w:pStyle w:val="ListParagraph"/>
        <w:numPr>
          <w:ilvl w:val="0"/>
          <w:numId w:val="12"/>
        </w:numPr>
      </w:pPr>
      <w:r>
        <w:t>Expand bi-lingual employee base</w:t>
      </w:r>
    </w:p>
    <w:p w:rsidR="00186F65" w:rsidRDefault="00186F65" w:rsidP="008C0CAC">
      <w:pPr>
        <w:pStyle w:val="Heading2"/>
        <w:spacing w:before="0" w:line="240" w:lineRule="auto"/>
      </w:pPr>
      <w:bookmarkStart w:id="57" w:name="_Toc280292437"/>
      <w:bookmarkStart w:id="58" w:name="_Toc280307376"/>
      <w:r w:rsidRPr="00ED6FC7">
        <w:t>Target Market</w:t>
      </w:r>
      <w:bookmarkEnd w:id="57"/>
      <w:bookmarkEnd w:id="58"/>
    </w:p>
    <w:p w:rsidR="00186F65" w:rsidRDefault="00186F65" w:rsidP="00BB2FE8">
      <w:pPr>
        <w:pStyle w:val="ListParagraph"/>
        <w:numPr>
          <w:ilvl w:val="0"/>
          <w:numId w:val="13"/>
        </w:numPr>
      </w:pPr>
      <w:r>
        <w:t>Colleg</w:t>
      </w:r>
      <w:r w:rsidR="009B29BF">
        <w:t>e Students involved in the “MESA</w:t>
      </w:r>
      <w:r>
        <w:t>” program at Solano CC.</w:t>
      </w:r>
    </w:p>
    <w:p w:rsidR="00186F65" w:rsidRDefault="00186F65" w:rsidP="00BB2FE8">
      <w:pPr>
        <w:pStyle w:val="ListParagraph"/>
        <w:numPr>
          <w:ilvl w:val="0"/>
          <w:numId w:val="13"/>
        </w:numPr>
      </w:pPr>
      <w:r>
        <w:t>Latino members of the SEIU Union and other local industrial unions.</w:t>
      </w:r>
    </w:p>
    <w:p w:rsidR="00186F65" w:rsidRDefault="00186F65" w:rsidP="00BB2FE8">
      <w:pPr>
        <w:pStyle w:val="ListParagraph"/>
        <w:numPr>
          <w:ilvl w:val="0"/>
          <w:numId w:val="13"/>
        </w:numPr>
      </w:pPr>
      <w:r>
        <w:t xml:space="preserve">United Farm Workers union – Solano branch </w:t>
      </w:r>
    </w:p>
    <w:p w:rsidR="00186F65" w:rsidRDefault="00186F65" w:rsidP="00BB2FE8">
      <w:pPr>
        <w:pStyle w:val="ListParagraph"/>
        <w:numPr>
          <w:ilvl w:val="0"/>
          <w:numId w:val="13"/>
        </w:numPr>
      </w:pPr>
      <w:r>
        <w:t>Farmers Market vendors</w:t>
      </w:r>
    </w:p>
    <w:p w:rsidR="00186F65" w:rsidRDefault="00186F65" w:rsidP="00BB2FE8">
      <w:pPr>
        <w:pStyle w:val="ListParagraph"/>
        <w:numPr>
          <w:ilvl w:val="0"/>
          <w:numId w:val="13"/>
        </w:numPr>
      </w:pPr>
      <w:r>
        <w:t>Local Latino Community in Vacaville</w:t>
      </w:r>
    </w:p>
    <w:p w:rsidR="00186F65" w:rsidRDefault="00186F65" w:rsidP="00BB2FE8">
      <w:pPr>
        <w:pStyle w:val="ListParagraph"/>
        <w:numPr>
          <w:ilvl w:val="0"/>
          <w:numId w:val="13"/>
        </w:numPr>
      </w:pPr>
      <w:r>
        <w:t>Internal H&amp;R stakeholders</w:t>
      </w:r>
    </w:p>
    <w:p w:rsidR="00186F65" w:rsidRDefault="00186F65" w:rsidP="008C0CAC">
      <w:pPr>
        <w:pStyle w:val="Heading2"/>
        <w:spacing w:before="0" w:line="240" w:lineRule="auto"/>
      </w:pPr>
      <w:bookmarkStart w:id="59" w:name="_Toc280292438"/>
      <w:bookmarkStart w:id="60" w:name="_Toc280307377"/>
      <w:r>
        <w:t xml:space="preserve">Positioning &amp; Unique </w:t>
      </w:r>
      <w:r w:rsidRPr="000A10E9">
        <w:t>S</w:t>
      </w:r>
      <w:r>
        <w:t>elling Point</w:t>
      </w:r>
      <w:bookmarkEnd w:id="59"/>
      <w:bookmarkEnd w:id="60"/>
    </w:p>
    <w:p w:rsidR="00186F65" w:rsidRDefault="00186F65" w:rsidP="00366596">
      <w:pPr>
        <w:ind w:firstLine="720"/>
      </w:pPr>
      <w:r>
        <w:t xml:space="preserve">By aggressively developing the “Latino” segment of H&amp;R Block’s services and creating increased awareness of H&amp;R Block’s commitment to the local Latino community we will be able to use the existing H&amp;R platform to offer superior services to Hispanic speaking customers. </w:t>
      </w:r>
    </w:p>
    <w:p w:rsidR="00186F65" w:rsidRDefault="00186F65" w:rsidP="008C0CAC">
      <w:pPr>
        <w:pStyle w:val="Heading2"/>
        <w:spacing w:before="0" w:line="240" w:lineRule="auto"/>
      </w:pPr>
      <w:bookmarkStart w:id="61" w:name="_Toc280292439"/>
      <w:bookmarkStart w:id="62" w:name="_Toc280307378"/>
      <w:r w:rsidRPr="00CA4EEE">
        <w:t>Core strategy</w:t>
      </w:r>
      <w:bookmarkEnd w:id="61"/>
      <w:bookmarkEnd w:id="62"/>
    </w:p>
    <w:p w:rsidR="00186F65" w:rsidRDefault="00186F65" w:rsidP="00366596">
      <w:pPr>
        <w:ind w:firstLine="720"/>
      </w:pPr>
      <w:r>
        <w:t>In order to reach out to the Latino community and the targets we have identified our core marketing strategy as the following: A full frontal (attack) approach involving guerilla tactics to undermine our competition.</w:t>
      </w:r>
    </w:p>
    <w:p w:rsidR="00186F65" w:rsidRDefault="00186F65" w:rsidP="008C0CAC">
      <w:pPr>
        <w:pStyle w:val="Heading2"/>
        <w:spacing w:before="0" w:line="240" w:lineRule="auto"/>
      </w:pPr>
      <w:bookmarkStart w:id="63" w:name="_Toc280292440"/>
      <w:bookmarkStart w:id="64" w:name="_Toc280307379"/>
      <w:r w:rsidRPr="00287277">
        <w:t>Push v. Pull</w:t>
      </w:r>
      <w:bookmarkEnd w:id="63"/>
      <w:bookmarkEnd w:id="64"/>
    </w:p>
    <w:p w:rsidR="00186F65" w:rsidRDefault="00186F65" w:rsidP="00366596">
      <w:pPr>
        <w:ind w:firstLine="720"/>
      </w:pPr>
      <w:r>
        <w:t xml:space="preserve">In line with our core strategy we will aggressively push our bilingual services into the Latino community. Since this is a relatively new market for us it will take time before we have the community recognition that would pull them towards us. </w:t>
      </w:r>
    </w:p>
    <w:p w:rsidR="00186F65" w:rsidRDefault="00186F65" w:rsidP="008C0CAC">
      <w:pPr>
        <w:pStyle w:val="Heading2"/>
        <w:spacing w:before="0" w:line="240" w:lineRule="auto"/>
      </w:pPr>
      <w:bookmarkStart w:id="65" w:name="_Toc280292441"/>
      <w:bookmarkStart w:id="66" w:name="_Toc280307380"/>
      <w:r w:rsidRPr="00390DBF">
        <w:t>Loyalty v. Trial</w:t>
      </w:r>
      <w:bookmarkEnd w:id="65"/>
      <w:bookmarkEnd w:id="66"/>
    </w:p>
    <w:p w:rsidR="00186F65" w:rsidRDefault="00473804" w:rsidP="00473804">
      <w:pPr>
        <w:ind w:firstLine="720"/>
      </w:pPr>
      <w:r>
        <w:t>We</w:t>
      </w:r>
      <w:r w:rsidR="00186F65">
        <w:t xml:space="preserve"> are offering a superior service base to the Latino community, there for we expect to build a long-term relationship with this market. We are in the tax preparation business NOT a Netflix trial business! </w:t>
      </w:r>
    </w:p>
    <w:p w:rsidR="00186F65" w:rsidRPr="00280AFF" w:rsidRDefault="00186F65" w:rsidP="008C0CAC">
      <w:pPr>
        <w:pStyle w:val="Heading2"/>
        <w:spacing w:before="0" w:line="240" w:lineRule="auto"/>
      </w:pPr>
      <w:bookmarkStart w:id="67" w:name="_Toc280292442"/>
      <w:bookmarkStart w:id="68" w:name="_Toc280307381"/>
      <w:r w:rsidRPr="00280AFF">
        <w:lastRenderedPageBreak/>
        <w:t>Low-Order</w:t>
      </w:r>
      <w:bookmarkEnd w:id="67"/>
      <w:bookmarkEnd w:id="68"/>
    </w:p>
    <w:p w:rsidR="00186F65" w:rsidRDefault="00186F65" w:rsidP="00BB2FE8">
      <w:pPr>
        <w:pStyle w:val="Heading3"/>
      </w:pPr>
      <w:bookmarkStart w:id="69" w:name="_Toc280307382"/>
      <w:r>
        <w:t>Targeting the Latino Market</w:t>
      </w:r>
      <w:bookmarkEnd w:id="69"/>
    </w:p>
    <w:p w:rsidR="00186F65" w:rsidRPr="00F27B5F" w:rsidRDefault="00186F65" w:rsidP="00473804">
      <w:pPr>
        <w:ind w:firstLine="720"/>
        <w:rPr>
          <w:rFonts w:ascii="Arial" w:hAnsi="Arial" w:cs="Arial"/>
        </w:rPr>
      </w:pPr>
      <w:r w:rsidRPr="00337F7A">
        <w:t xml:space="preserve">In attempting to reach the Latino market </w:t>
      </w:r>
      <w:r>
        <w:t>t</w:t>
      </w:r>
      <w:r w:rsidRPr="00337F7A">
        <w:t xml:space="preserve">he first place we would start is at the </w:t>
      </w:r>
      <w:r w:rsidR="0035444D" w:rsidRPr="00337F7A">
        <w:t xml:space="preserve">Latino </w:t>
      </w:r>
      <w:r w:rsidR="0035444D">
        <w:t>grocery</w:t>
      </w:r>
      <w:r>
        <w:t xml:space="preserve"> stores</w:t>
      </w:r>
      <w:r w:rsidRPr="00337F7A">
        <w:t>. This brings our target audience to us</w:t>
      </w:r>
      <w:r>
        <w:rPr>
          <w:rFonts w:ascii="Arial" w:hAnsi="Arial" w:cs="Arial"/>
        </w:rPr>
        <w:t>.</w:t>
      </w:r>
    </w:p>
    <w:p w:rsidR="00186F65" w:rsidRPr="00A94869" w:rsidRDefault="007A5458" w:rsidP="008C0CAC">
      <w:pPr>
        <w:pStyle w:val="Heading2"/>
        <w:spacing w:before="0" w:line="240" w:lineRule="auto"/>
        <w:rPr>
          <w:rFonts w:eastAsia="Times New Roman"/>
        </w:rPr>
      </w:pPr>
      <w:bookmarkStart w:id="70" w:name="_Toc280307383"/>
      <w:r>
        <w:rPr>
          <w:rFonts w:eastAsia="Times New Roman"/>
        </w:rPr>
        <w:t>The 4-P’s</w:t>
      </w:r>
      <w:bookmarkEnd w:id="70"/>
    </w:p>
    <w:p w:rsidR="00186F65" w:rsidRDefault="00186F65" w:rsidP="008C0CAC">
      <w:pPr>
        <w:pStyle w:val="Heading3"/>
        <w:spacing w:before="0" w:line="240" w:lineRule="auto"/>
      </w:pPr>
      <w:bookmarkStart w:id="71" w:name="_Toc280292444"/>
      <w:bookmarkStart w:id="72" w:name="_Toc280307384"/>
      <w:r>
        <w:t>Product</w:t>
      </w:r>
      <w:bookmarkEnd w:id="71"/>
      <w:bookmarkEnd w:id="72"/>
    </w:p>
    <w:p w:rsidR="00186F65" w:rsidRPr="00261D83" w:rsidRDefault="00186F65" w:rsidP="00473804">
      <w:pPr>
        <w:ind w:firstLine="720"/>
      </w:pPr>
      <w:r w:rsidRPr="00261D83">
        <w:t>We will be offering all the standard H&amp;R Block services but; we plan to emphasize the bi-lingual nature of the staff</w:t>
      </w:r>
      <w:r>
        <w:t xml:space="preserve"> and the services that we can offer the Latino community</w:t>
      </w:r>
      <w:r w:rsidRPr="00261D83">
        <w:t>.</w:t>
      </w:r>
      <w:r w:rsidR="00D10322">
        <w:t xml:space="preserve"> Our product isn’t just a service, its providing excellent customer service. When a Hispanic customer has a question or a specific tax need we will be there with staff that can help them. </w:t>
      </w:r>
    </w:p>
    <w:p w:rsidR="00186F65" w:rsidRDefault="00186F65" w:rsidP="008C0CAC">
      <w:pPr>
        <w:pStyle w:val="Heading3"/>
        <w:spacing w:before="0" w:line="240" w:lineRule="auto"/>
      </w:pPr>
      <w:bookmarkStart w:id="73" w:name="_Toc280292445"/>
      <w:bookmarkStart w:id="74" w:name="_Toc280307385"/>
      <w:r>
        <w:t>Price</w:t>
      </w:r>
      <w:bookmarkEnd w:id="73"/>
      <w:bookmarkEnd w:id="74"/>
    </w:p>
    <w:p w:rsidR="00186F65" w:rsidRPr="001F62EA" w:rsidRDefault="00186F65" w:rsidP="00041F1A">
      <w:pPr>
        <w:pStyle w:val="ListParagraph"/>
        <w:numPr>
          <w:ilvl w:val="0"/>
          <w:numId w:val="16"/>
        </w:numPr>
      </w:pPr>
      <w:r w:rsidRPr="001F62EA">
        <w:t xml:space="preserve">In respect to our direct customers we will not be adjusting the pricing structure of our services. </w:t>
      </w:r>
    </w:p>
    <w:p w:rsidR="00D10322" w:rsidRPr="00D10322" w:rsidRDefault="00186F65" w:rsidP="00041F1A">
      <w:pPr>
        <w:pStyle w:val="ListParagraph"/>
        <w:numPr>
          <w:ilvl w:val="0"/>
          <w:numId w:val="16"/>
        </w:numPr>
      </w:pPr>
      <w:r>
        <w:t>For our internal stakeholders we will add several incentives that fall “in between” a price strategy and an internal incentive strategy.</w:t>
      </w:r>
    </w:p>
    <w:p w:rsidR="00186F65" w:rsidRDefault="00186F65" w:rsidP="008C0CAC">
      <w:pPr>
        <w:pStyle w:val="Heading3"/>
        <w:spacing w:before="0" w:line="240" w:lineRule="auto"/>
      </w:pPr>
      <w:bookmarkStart w:id="75" w:name="_Toc280292446"/>
      <w:bookmarkStart w:id="76" w:name="_Toc280307386"/>
      <w:r>
        <w:t>Place</w:t>
      </w:r>
      <w:bookmarkEnd w:id="75"/>
      <w:bookmarkEnd w:id="76"/>
    </w:p>
    <w:p w:rsidR="00186F65" w:rsidRPr="00E25FF7" w:rsidRDefault="00186F65" w:rsidP="00E25FF7">
      <w:pPr>
        <w:pStyle w:val="ListParagraph"/>
        <w:numPr>
          <w:ilvl w:val="0"/>
          <w:numId w:val="14"/>
        </w:numPr>
        <w:rPr>
          <w:rFonts w:cstheme="minorHAnsi"/>
        </w:rPr>
      </w:pPr>
      <w:r w:rsidRPr="00E25FF7">
        <w:rPr>
          <w:rFonts w:cstheme="minorHAnsi"/>
        </w:rPr>
        <w:t xml:space="preserve">Our Storefront will be at 3035 Alamo St, in Vacaville, which will function as a central point of contact. See the appendix for a list of grocery stores etc. that will be used to disseminate information on the bilingual service. </w:t>
      </w:r>
    </w:p>
    <w:p w:rsidR="00B84E37" w:rsidRPr="00E25FF7" w:rsidRDefault="00B84E37" w:rsidP="00E25FF7">
      <w:pPr>
        <w:pStyle w:val="ListParagraph"/>
        <w:numPr>
          <w:ilvl w:val="0"/>
          <w:numId w:val="14"/>
        </w:numPr>
        <w:rPr>
          <w:rFonts w:eastAsia="Times New Roman" w:cstheme="minorHAnsi"/>
          <w:sz w:val="20"/>
          <w:szCs w:val="20"/>
        </w:rPr>
      </w:pPr>
      <w:r w:rsidRPr="00E25FF7">
        <w:rPr>
          <w:rFonts w:eastAsia="Times New Roman" w:cstheme="minorHAnsi"/>
        </w:rPr>
        <w:t>WinCo And the 99 cent store</w:t>
      </w:r>
      <w:r w:rsidRPr="00E25FF7">
        <w:rPr>
          <w:rFonts w:eastAsia="Times New Roman" w:cstheme="minorHAnsi"/>
          <w:sz w:val="20"/>
          <w:szCs w:val="20"/>
        </w:rPr>
        <w:t>.</w:t>
      </w:r>
    </w:p>
    <w:p w:rsidR="00E25FF7" w:rsidRPr="00E25FF7" w:rsidRDefault="00B84E37" w:rsidP="00E25FF7">
      <w:pPr>
        <w:pStyle w:val="ListParagraph"/>
        <w:numPr>
          <w:ilvl w:val="0"/>
          <w:numId w:val="14"/>
        </w:numPr>
        <w:rPr>
          <w:rFonts w:eastAsia="Times New Roman" w:cstheme="minorHAnsi"/>
          <w:sz w:val="20"/>
          <w:szCs w:val="20"/>
        </w:rPr>
      </w:pPr>
      <w:r w:rsidRPr="00E25FF7">
        <w:rPr>
          <w:rFonts w:eastAsia="Times New Roman" w:cstheme="minorHAnsi"/>
        </w:rPr>
        <w:t>Local Farmers markets</w:t>
      </w:r>
    </w:p>
    <w:p w:rsidR="006174B3" w:rsidRDefault="006174B3" w:rsidP="008C0CAC">
      <w:pPr>
        <w:pStyle w:val="Heading3"/>
        <w:spacing w:before="0" w:line="240" w:lineRule="auto"/>
      </w:pPr>
      <w:bookmarkStart w:id="77" w:name="_Toc280292447"/>
      <w:bookmarkStart w:id="78" w:name="_Toc280307387"/>
      <w:r>
        <w:t>Promotion</w:t>
      </w:r>
      <w:bookmarkEnd w:id="77"/>
      <w:bookmarkEnd w:id="78"/>
    </w:p>
    <w:p w:rsidR="004A14AA" w:rsidRPr="00EA4C3A" w:rsidRDefault="00AF106A" w:rsidP="004A14AA">
      <w:pPr>
        <w:ind w:firstLine="720"/>
      </w:pPr>
      <w:r>
        <w:rPr>
          <w:noProof/>
        </w:rPr>
        <w:drawing>
          <wp:anchor distT="0" distB="0" distL="114300" distR="114300" simplePos="0" relativeHeight="251659776" behindDoc="1" locked="0" layoutInCell="1" allowOverlap="1" wp14:anchorId="0E9FF45E" wp14:editId="296E7100">
            <wp:simplePos x="0" y="0"/>
            <wp:positionH relativeFrom="column">
              <wp:posOffset>123825</wp:posOffset>
            </wp:positionH>
            <wp:positionV relativeFrom="paragraph">
              <wp:posOffset>621030</wp:posOffset>
            </wp:positionV>
            <wp:extent cx="5486400" cy="1960245"/>
            <wp:effectExtent l="0" t="0" r="19050" b="0"/>
            <wp:wrapTight wrapText="bothSides">
              <wp:wrapPolygon edited="1">
                <wp:start x="975" y="6943"/>
                <wp:lineTo x="-161" y="6820"/>
                <wp:lineTo x="-2391" y="7277"/>
                <wp:lineTo x="-2552" y="10395"/>
                <wp:lineTo x="-2316" y="10696"/>
                <wp:lineTo x="-1301" y="13371"/>
                <wp:lineTo x="-1995" y="14752"/>
                <wp:lineTo x="2250" y="14657"/>
                <wp:lineTo x="21788" y="14381"/>
                <wp:lineTo x="21600" y="9129"/>
                <wp:lineTo x="22472" y="6847"/>
                <wp:lineTo x="16800" y="6943"/>
                <wp:lineTo x="975" y="6943"/>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V relativeFrom="margin">
              <wp14:pctHeight>0</wp14:pctHeight>
            </wp14:sizeRelV>
          </wp:anchor>
        </w:drawing>
      </w:r>
      <w:r w:rsidR="00B84E37">
        <w:t xml:space="preserve">The different Unions that represent various groups of Hispanic labor are a great place to promote our expanded services. Partnering with these groups provides us with a direct point of contact through which we can </w:t>
      </w:r>
      <w:r w:rsidR="00040181">
        <w:t>promote the bilingual capabilities of H&amp;R staff and its services. M</w:t>
      </w:r>
      <w:r w:rsidR="00186F65" w:rsidRPr="00EA4C3A">
        <w:t>ass med</w:t>
      </w:r>
      <w:r w:rsidR="00586C10">
        <w:t>ia such as radio and television:</w:t>
      </w:r>
    </w:p>
    <w:p w:rsidR="00186F65" w:rsidRDefault="00186F65" w:rsidP="00366596"/>
    <w:p w:rsidR="00BB5EFC" w:rsidRDefault="006174B3" w:rsidP="00337161">
      <w:pPr>
        <w:pStyle w:val="Heading2"/>
      </w:pPr>
      <w:bookmarkStart w:id="79" w:name="_Toc280307388"/>
      <w:r>
        <w:lastRenderedPageBreak/>
        <w:t>The role of 4P’s</w:t>
      </w:r>
      <w:bookmarkEnd w:id="79"/>
    </w:p>
    <w:p w:rsidR="00BB5EFC" w:rsidRDefault="00BB5EFC" w:rsidP="00473804">
      <w:pPr>
        <w:ind w:firstLine="720"/>
      </w:pPr>
      <w:r>
        <w:t xml:space="preserve">By </w:t>
      </w:r>
      <w:r w:rsidR="00040181">
        <w:t>establishing contracts with</w:t>
      </w:r>
      <w:r>
        <w:t xml:space="preserve"> these three broadcast companies, would have access to a large portion of the </w:t>
      </w:r>
      <w:r w:rsidR="00040181">
        <w:t xml:space="preserve">Hispanic broadcast market while minimizing cost our direct promotional cost. </w:t>
      </w:r>
      <w:r w:rsidR="00294DBF">
        <w:t>A crucial</w:t>
      </w:r>
      <w:r>
        <w:t xml:space="preserve"> concept which must be conveyed is that the IRS and Franchise Tax Board do not care about an individual’s immigration status or how they earned the money. </w:t>
      </w:r>
      <w:r w:rsidR="00F17501">
        <w:t xml:space="preserve">They just want their cut of an individual’s paycheck. </w:t>
      </w:r>
      <w:r>
        <w:t>Therefore they i</w:t>
      </w:r>
      <w:r w:rsidR="00586C10">
        <w:t>ssue tax identification numbers; it is in no way an immigration “witch hunt” tool.</w:t>
      </w:r>
    </w:p>
    <w:p w:rsidR="00BB5EFC" w:rsidRDefault="00BB5EFC" w:rsidP="00473804">
      <w:pPr>
        <w:ind w:firstLine="720"/>
      </w:pPr>
      <w:r>
        <w:t>This concept must be explained in our advertising as well as the fact that H&amp;R Block has bi-lingual experts for the sole purpose of helping Latinos through this process. Once this tax ID number has been obtained then the standard tax forms can be used.</w:t>
      </w:r>
    </w:p>
    <w:p w:rsidR="00B43B4C" w:rsidRDefault="00AE10B2" w:rsidP="00B43B4C">
      <w:pPr>
        <w:pStyle w:val="Heading1"/>
      </w:pPr>
      <w:bookmarkStart w:id="80" w:name="_Toc280292448"/>
      <w:bookmarkStart w:id="81" w:name="_Toc280307389"/>
      <w:r>
        <w:t>C</w:t>
      </w:r>
      <w:r w:rsidR="00B43B4C">
        <w:t>onclusion</w:t>
      </w:r>
      <w:bookmarkEnd w:id="80"/>
      <w:bookmarkEnd w:id="81"/>
    </w:p>
    <w:p w:rsidR="00B43B4C" w:rsidRDefault="00B43B4C" w:rsidP="00366596">
      <w:r>
        <w:tab/>
        <w:t xml:space="preserve">It is the </w:t>
      </w:r>
      <w:r w:rsidR="0095761C">
        <w:t xml:space="preserve">belief </w:t>
      </w:r>
      <w:r>
        <w:t xml:space="preserve">of this consultant team that there are many opportunities for H&amp;R Block in regards to the Latino Blitz </w:t>
      </w:r>
      <w:r w:rsidR="00496B6E">
        <w:t>program.  These opportunities can only be truly realized with a fully supportive corporate program.  A single store may have mild success with these recommendations; a district will have</w:t>
      </w:r>
      <w:r w:rsidR="00ED0027">
        <w:t xml:space="preserve"> slightly better results; only with the changes and support from the Corporate Office to make these changes can this strategy be exceptional</w:t>
      </w:r>
      <w:r w:rsidR="008D7BDF">
        <w:t>ly</w:t>
      </w:r>
      <w:r w:rsidR="00ED0027">
        <w:t xml:space="preserve"> successful.</w:t>
      </w:r>
    </w:p>
    <w:p w:rsidR="00ED0027" w:rsidRDefault="00ED0027" w:rsidP="00366596">
      <w:r>
        <w:tab/>
        <w:t xml:space="preserve">A “Latino Blitz” may have </w:t>
      </w:r>
      <w:r w:rsidR="00294DBF">
        <w:t>training manuals</w:t>
      </w:r>
      <w:r>
        <w:t xml:space="preserve"> and set</w:t>
      </w:r>
      <w:r w:rsidR="008D7BDF">
        <w:t>s</w:t>
      </w:r>
      <w:r>
        <w:t xml:space="preserve"> of goals, but without </w:t>
      </w:r>
      <w:r w:rsidR="00CB1FCD">
        <w:t>further</w:t>
      </w:r>
      <w:r>
        <w:t xml:space="preserve"> incentives and </w:t>
      </w:r>
      <w:r w:rsidR="00CB1FCD">
        <w:t xml:space="preserve">the expansion of current software to support </w:t>
      </w:r>
      <w:r>
        <w:t>a multi-ling</w:t>
      </w:r>
      <w:r w:rsidR="00CB1FCD">
        <w:t>ual platform, can H&amp;R Block leverage this “Golden Opportunity.”  The program in its current form seem</w:t>
      </w:r>
      <w:r w:rsidR="008D7BDF">
        <w:t>s</w:t>
      </w:r>
      <w:r w:rsidR="00CB1FCD">
        <w:t xml:space="preserve"> to only be given “lip service” by the </w:t>
      </w:r>
      <w:r w:rsidR="00042C3A">
        <w:t xml:space="preserve">district and local offices, as there is little “buy in” from the various regions we examined throughout the country.  The lack of posted and available Bi-lingual associates </w:t>
      </w:r>
      <w:r w:rsidR="004F2812">
        <w:t xml:space="preserve">in the offices, or on the website </w:t>
      </w:r>
      <w:r w:rsidR="00042C3A">
        <w:t>shows a lack of representation</w:t>
      </w:r>
      <w:r w:rsidR="004F2812">
        <w:t>, which hinders</w:t>
      </w:r>
      <w:r w:rsidR="00A43481">
        <w:t xml:space="preserve"> the appeal to</w:t>
      </w:r>
      <w:r w:rsidR="004F2812">
        <w:t xml:space="preserve"> specialized market segments, such as in the “Latino Blitz.”  Overall, we find the idea remarkably interesting, yet the current plan for this program very disappointing.  </w:t>
      </w:r>
    </w:p>
    <w:p w:rsidR="004F2812" w:rsidRDefault="004F2812" w:rsidP="00366596">
      <w:r>
        <w:tab/>
        <w:t>Better Communication from the office man</w:t>
      </w:r>
      <w:r w:rsidR="00C6610E">
        <w:t xml:space="preserve">agers </w:t>
      </w:r>
      <w:r w:rsidR="00AE2B02">
        <w:t xml:space="preserve">would have greatly helped our analysis of the existing “Latino Blitz.”  It seems there was a disconnection in communication, which hindered a better understanding of the current program.  The Advanced Latino Blitz training program </w:t>
      </w:r>
      <w:r w:rsidR="004C59FC">
        <w:t xml:space="preserve">from 2009 along with the </w:t>
      </w:r>
      <w:r w:rsidR="004C59FC" w:rsidRPr="00BA3D30">
        <w:t>Exclusive Latino Client Building Blueprint</w:t>
      </w:r>
      <w:r w:rsidR="004C59FC">
        <w:t xml:space="preserve"> would have </w:t>
      </w:r>
      <w:r w:rsidR="004C59FC">
        <w:lastRenderedPageBreak/>
        <w:t xml:space="preserve">allowed our consulting group </w:t>
      </w:r>
      <w:r w:rsidR="00706A12">
        <w:t>the ability to compare the current corporate strategy and allowed a much more highly useful and specific benchmark</w:t>
      </w:r>
      <w:r w:rsidR="008D5292">
        <w:t>ing</w:t>
      </w:r>
      <w:r w:rsidR="00706A12">
        <w:t xml:space="preserve"> tool for H&amp;R Block.  </w:t>
      </w:r>
    </w:p>
    <w:p w:rsidR="00706A12" w:rsidRPr="00B43B4C" w:rsidRDefault="00706A12" w:rsidP="00366596">
      <w:r>
        <w:tab/>
      </w:r>
      <w:r w:rsidR="008D5292">
        <w:t>We feel the strateg</w:t>
      </w:r>
      <w:r w:rsidR="00CF2908">
        <w:t xml:space="preserve">ies suggested here will greatly improve the Latino client base.  These incentives, coupled with </w:t>
      </w:r>
      <w:r w:rsidR="00276E2B">
        <w:t xml:space="preserve">the community outreach will build a loyal </w:t>
      </w:r>
      <w:r w:rsidR="00294DBF">
        <w:t>customer base</w:t>
      </w:r>
      <w:r w:rsidR="00276E2B">
        <w:t xml:space="preserve"> within </w:t>
      </w:r>
      <w:r w:rsidR="00BE5F72">
        <w:t>the city of Vacaville.  The retail store at 3035 Alamo Drive</w:t>
      </w:r>
      <w:r w:rsidR="009B29BF">
        <w:t xml:space="preserve"> in Vacaville</w:t>
      </w:r>
      <w:r w:rsidR="00BE5F72">
        <w:t xml:space="preserve">, along with the district will, upon full implementation see a </w:t>
      </w:r>
      <w:r w:rsidR="0044631E">
        <w:t>rise in Latino customers.</w:t>
      </w:r>
    </w:p>
    <w:p w:rsidR="00186F65" w:rsidRDefault="00186F65" w:rsidP="00366596"/>
    <w:p w:rsidR="00186F65" w:rsidRDefault="00186F65" w:rsidP="008C0CAC">
      <w:pPr>
        <w:pStyle w:val="Heading1"/>
        <w:spacing w:before="0" w:line="240" w:lineRule="auto"/>
      </w:pPr>
      <w:bookmarkStart w:id="82" w:name="_Toc280292449"/>
      <w:bookmarkStart w:id="83" w:name="_Toc280307390"/>
      <w:r>
        <w:t>Appendix:</w:t>
      </w:r>
      <w:bookmarkEnd w:id="82"/>
      <w:bookmarkEnd w:id="83"/>
    </w:p>
    <w:p w:rsidR="00186F65" w:rsidRDefault="00186F65" w:rsidP="00366596">
      <w:r>
        <w:t xml:space="preserve">Latino grocery stores in </w:t>
      </w:r>
      <w:r w:rsidR="007A5458">
        <w:t xml:space="preserve">the </w:t>
      </w:r>
      <w:r>
        <w:t>Vacaville area:</w:t>
      </w:r>
    </w:p>
    <w:p w:rsidR="00186F65" w:rsidRPr="002F58B4" w:rsidRDefault="00727469" w:rsidP="00366596">
      <w:r w:rsidRPr="002F58B4">
        <w:t>MI Ranchito</w:t>
      </w:r>
      <w:r w:rsidR="00186F65" w:rsidRPr="002F58B4">
        <w:t xml:space="preserve"> Super Mercado</w:t>
      </w:r>
    </w:p>
    <w:p w:rsidR="00186F65" w:rsidRPr="002F58B4" w:rsidRDefault="00186F65" w:rsidP="00366596">
      <w:r w:rsidRPr="002F58B4">
        <w:t>1425 Market Ln, S</w:t>
      </w:r>
      <w:r w:rsidR="00727469">
        <w:t>ui</w:t>
      </w:r>
      <w:r w:rsidRPr="002F58B4">
        <w:t>te B, Dixon CA</w:t>
      </w:r>
    </w:p>
    <w:p w:rsidR="00186F65" w:rsidRPr="002F58B4" w:rsidRDefault="00186F65" w:rsidP="00366596"/>
    <w:p w:rsidR="00186F65" w:rsidRPr="002F58B4" w:rsidRDefault="00186F65" w:rsidP="00366596">
      <w:r w:rsidRPr="002F58B4">
        <w:t>Esparto Super Market</w:t>
      </w:r>
    </w:p>
    <w:p w:rsidR="00186F65" w:rsidRPr="002F58B4" w:rsidRDefault="00186F65" w:rsidP="00366596">
      <w:r w:rsidRPr="002F58B4">
        <w:t>17343 Fremont St, Esparto CA</w:t>
      </w:r>
    </w:p>
    <w:p w:rsidR="00186F65" w:rsidRPr="002F58B4" w:rsidRDefault="00186F65" w:rsidP="00366596"/>
    <w:p w:rsidR="00186F65" w:rsidRPr="002F58B4" w:rsidRDefault="00186F65" w:rsidP="00366596">
      <w:r w:rsidRPr="002F58B4">
        <w:t>Sagara Farms</w:t>
      </w:r>
    </w:p>
    <w:p w:rsidR="00186F65" w:rsidRPr="002F58B4" w:rsidRDefault="00186F65" w:rsidP="00366596">
      <w:r w:rsidRPr="002F58B4">
        <w:t>17437 County Road 86a, Esparto CA</w:t>
      </w:r>
      <w:r w:rsidRPr="002F58B4">
        <w:br/>
      </w:r>
    </w:p>
    <w:p w:rsidR="00186F65" w:rsidRPr="002F58B4" w:rsidRDefault="00186F65" w:rsidP="00366596">
      <w:r w:rsidRPr="002F58B4">
        <w:t>Mexico Meat Market</w:t>
      </w:r>
    </w:p>
    <w:p w:rsidR="00186F65" w:rsidRPr="002F58B4" w:rsidRDefault="00186F65" w:rsidP="00366596">
      <w:pPr>
        <w:rPr>
          <w:rStyle w:val="Strong"/>
        </w:rPr>
      </w:pPr>
      <w:r w:rsidRPr="002F58B4">
        <w:t xml:space="preserve">1130 E Monte Vista Ave, </w:t>
      </w:r>
      <w:r w:rsidR="00F17501" w:rsidRPr="002F58B4">
        <w:t>S</w:t>
      </w:r>
      <w:r w:rsidR="00F17501">
        <w:t>uite</w:t>
      </w:r>
      <w:r w:rsidRPr="002F58B4">
        <w:t xml:space="preserve"> A, Vacaville</w:t>
      </w:r>
    </w:p>
    <w:p w:rsidR="00D72AF2" w:rsidRPr="002070AB" w:rsidRDefault="00D72AF2" w:rsidP="00D72AF2">
      <w:pPr>
        <w:pStyle w:val="Heading2"/>
      </w:pPr>
      <w:bookmarkStart w:id="84" w:name="_Toc280307391"/>
      <w:r>
        <w:t>Vacaville Population</w:t>
      </w:r>
      <w:bookmarkEnd w:id="84"/>
    </w:p>
    <w:p w:rsidR="00D72AF2" w:rsidRPr="0033679A" w:rsidRDefault="00D72AF2" w:rsidP="00D72AF2">
      <w:pPr>
        <w:pStyle w:val="Heading2"/>
        <w:spacing w:line="240" w:lineRule="auto"/>
        <w:rPr>
          <w:rFonts w:cs="Arial"/>
          <w:color w:val="000000"/>
          <w:sz w:val="16"/>
          <w:szCs w:val="16"/>
        </w:rPr>
      </w:pPr>
      <w:bookmarkStart w:id="85" w:name="_Toc280292432"/>
      <w:bookmarkStart w:id="86" w:name="_Toc280307392"/>
      <w:r w:rsidRPr="0033679A">
        <w:rPr>
          <w:rFonts w:cs="Arial"/>
          <w:color w:val="000000"/>
          <w:sz w:val="16"/>
          <w:szCs w:val="16"/>
        </w:rPr>
        <w:t>Vacaville (city), California</w:t>
      </w:r>
      <w:bookmarkEnd w:id="85"/>
      <w:bookmarkEnd w:id="86"/>
    </w:p>
    <w:tbl>
      <w:tblPr>
        <w:tblW w:w="1558" w:type="pct"/>
        <w:tblCellSpacing w:w="15" w:type="dxa"/>
        <w:tblCellMar>
          <w:top w:w="15" w:type="dxa"/>
          <w:left w:w="15" w:type="dxa"/>
          <w:bottom w:w="15" w:type="dxa"/>
          <w:right w:w="15" w:type="dxa"/>
        </w:tblCellMar>
        <w:tblLook w:val="04A0" w:firstRow="1" w:lastRow="0" w:firstColumn="1" w:lastColumn="0" w:noHBand="0" w:noVBand="1"/>
      </w:tblPr>
      <w:tblGrid>
        <w:gridCol w:w="2945"/>
      </w:tblGrid>
      <w:tr w:rsidR="00D72AF2" w:rsidRPr="0033679A" w:rsidTr="008C4781">
        <w:trPr>
          <w:tblCellSpacing w:w="15" w:type="dxa"/>
        </w:trPr>
        <w:tc>
          <w:tcPr>
            <w:tcW w:w="0" w:type="auto"/>
            <w:hideMark/>
          </w:tcPr>
          <w:p w:rsidR="00D72AF2" w:rsidRPr="00E51736" w:rsidRDefault="00D72AF2" w:rsidP="008C4781">
            <w:pPr>
              <w:spacing w:line="240" w:lineRule="auto"/>
              <w:rPr>
                <w:rFonts w:asciiTheme="majorHAnsi" w:hAnsiTheme="majorHAnsi" w:cs="Arial"/>
                <w:sz w:val="16"/>
                <w:szCs w:val="16"/>
              </w:rPr>
            </w:pPr>
            <w:r w:rsidRPr="00E51736">
              <w:rPr>
                <w:rFonts w:asciiTheme="majorHAnsi" w:hAnsiTheme="majorHAnsi" w:cs="Arial"/>
                <w:sz w:val="16"/>
                <w:szCs w:val="16"/>
              </w:rPr>
              <w:t>92,691</w:t>
            </w:r>
          </w:p>
        </w:tc>
      </w:tr>
      <w:tr w:rsidR="00D72AF2" w:rsidRPr="0033679A" w:rsidTr="008C4781">
        <w:trPr>
          <w:tblCellSpacing w:w="15" w:type="dxa"/>
        </w:trPr>
        <w:tc>
          <w:tcPr>
            <w:tcW w:w="0" w:type="auto"/>
            <w:hideMark/>
          </w:tcPr>
          <w:p w:rsidR="00D72AF2" w:rsidRPr="00E51736" w:rsidRDefault="00D72AF2" w:rsidP="008C4781">
            <w:pPr>
              <w:spacing w:line="240" w:lineRule="auto"/>
              <w:rPr>
                <w:rFonts w:asciiTheme="majorHAnsi" w:hAnsiTheme="majorHAnsi" w:cs="Arial"/>
                <w:sz w:val="16"/>
                <w:szCs w:val="16"/>
              </w:rPr>
            </w:pPr>
            <w:r w:rsidRPr="00E51736">
              <w:rPr>
                <w:rFonts w:asciiTheme="majorHAnsi" w:hAnsiTheme="majorHAnsi" w:cs="Arial"/>
                <w:sz w:val="16"/>
                <w:szCs w:val="16"/>
              </w:rPr>
              <w:t>4.5%</w:t>
            </w:r>
          </w:p>
        </w:tc>
      </w:tr>
      <w:tr w:rsidR="00D72AF2" w:rsidRPr="0033679A" w:rsidTr="008C4781">
        <w:trPr>
          <w:tblCellSpacing w:w="15" w:type="dxa"/>
        </w:trPr>
        <w:tc>
          <w:tcPr>
            <w:tcW w:w="0" w:type="auto"/>
            <w:hideMark/>
          </w:tcPr>
          <w:p w:rsidR="00D72AF2" w:rsidRPr="0033679A" w:rsidRDefault="00D72AF2" w:rsidP="008C4781">
            <w:pPr>
              <w:spacing w:line="240" w:lineRule="auto"/>
              <w:rPr>
                <w:rFonts w:asciiTheme="majorHAnsi" w:hAnsiTheme="majorHAnsi" w:cs="Arial"/>
                <w:sz w:val="16"/>
                <w:szCs w:val="16"/>
              </w:rPr>
            </w:pPr>
            <w:bookmarkStart w:id="87" w:name="content"/>
            <w:bookmarkEnd w:id="87"/>
          </w:p>
        </w:tc>
      </w:tr>
    </w:tbl>
    <w:p w:rsidR="00D72AF2" w:rsidRPr="0033679A" w:rsidRDefault="00D72AF2" w:rsidP="00D72AF2">
      <w:pPr>
        <w:rPr>
          <w:rStyle w:val="apple-style-span"/>
          <w:rFonts w:asciiTheme="majorHAnsi" w:hAnsiTheme="majorHAnsi" w:cs="Arial"/>
          <w:vanish/>
          <w:color w:val="000000"/>
          <w:sz w:val="16"/>
          <w:szCs w:val="16"/>
        </w:rPr>
      </w:pPr>
    </w:p>
    <w:tbl>
      <w:tblPr>
        <w:tblStyle w:val="MediumShading1-Accent5"/>
        <w:tblW w:w="5000" w:type="pct"/>
        <w:tblLook w:val="04A0" w:firstRow="1" w:lastRow="0" w:firstColumn="1" w:lastColumn="0" w:noHBand="0" w:noVBand="1"/>
      </w:tblPr>
      <w:tblGrid>
        <w:gridCol w:w="379"/>
        <w:gridCol w:w="6381"/>
        <w:gridCol w:w="1408"/>
        <w:gridCol w:w="1408"/>
      </w:tblGrid>
      <w:tr w:rsidR="00D72AF2" w:rsidRPr="0033679A" w:rsidTr="008C4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rPr>
                <w:b w:val="0"/>
                <w:bCs w:val="0"/>
              </w:rPr>
            </w:pPr>
            <w:r w:rsidRPr="0033679A">
              <w:lastRenderedPageBreak/>
              <w:t>   </w:t>
            </w:r>
          </w:p>
        </w:tc>
        <w:tc>
          <w:tcPr>
            <w:tcW w:w="3400" w:type="pct"/>
            <w:hideMark/>
          </w:tcPr>
          <w:p w:rsidR="00D72AF2" w:rsidRPr="0033679A" w:rsidRDefault="00D72AF2" w:rsidP="008C4781">
            <w:pPr>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16"/>
                <w:szCs w:val="16"/>
              </w:rPr>
            </w:pPr>
          </w:p>
        </w:tc>
        <w:tc>
          <w:tcPr>
            <w:tcW w:w="750" w:type="pct"/>
            <w:hideMark/>
          </w:tcPr>
          <w:p w:rsidR="00D72AF2" w:rsidRPr="0033679A" w:rsidRDefault="00D72AF2" w:rsidP="008C4781">
            <w:pPr>
              <w:cnfStyle w:val="100000000000" w:firstRow="1" w:lastRow="0" w:firstColumn="0" w:lastColumn="0" w:oddVBand="0" w:evenVBand="0" w:oddHBand="0" w:evenHBand="0" w:firstRowFirstColumn="0" w:firstRowLastColumn="0" w:lastRowFirstColumn="0" w:lastRowLastColumn="0"/>
              <w:rPr>
                <w:b w:val="0"/>
                <w:bCs w:val="0"/>
              </w:rPr>
            </w:pPr>
            <w:r w:rsidRPr="0033679A">
              <w:t>Vacaville</w:t>
            </w:r>
          </w:p>
        </w:tc>
        <w:tc>
          <w:tcPr>
            <w:tcW w:w="750" w:type="pct"/>
            <w:hideMark/>
          </w:tcPr>
          <w:p w:rsidR="00D72AF2" w:rsidRPr="0033679A" w:rsidRDefault="00D72AF2" w:rsidP="008C4781">
            <w:pPr>
              <w:cnfStyle w:val="100000000000" w:firstRow="1" w:lastRow="0" w:firstColumn="0" w:lastColumn="0" w:oddVBand="0" w:evenVBand="0" w:oddHBand="0" w:evenHBand="0" w:firstRowFirstColumn="0" w:firstRowLastColumn="0" w:lastRowFirstColumn="0" w:lastRowLastColumn="0"/>
              <w:rPr>
                <w:b w:val="0"/>
                <w:bCs w:val="0"/>
              </w:rPr>
            </w:pPr>
            <w:r w:rsidRPr="0033679A">
              <w:t>California</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Population, 2006 estimate</w:t>
            </w:r>
          </w:p>
        </w:tc>
        <w:tc>
          <w:tcPr>
            <w:tcW w:w="0" w:type="auto"/>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36,457,549</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Population, percent change, April 1, 2000 to July 1, 2006</w:t>
            </w:r>
          </w:p>
        </w:tc>
        <w:tc>
          <w:tcPr>
            <w:tcW w:w="0" w:type="auto"/>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7.6%</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Population, 2000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88,625</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33,871,648</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Persons under 5 years old, percent, 2000</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6.6%</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7.3%</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Persons under 18 years old, percent, 2000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27.0%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27.3%</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Persons 65 years old and over, percent, 2000</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8.3%</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10.6%</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Female persons, percent, 2000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45.8%</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50.2%</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Persons reporting two or more races, percent, 2000</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5.5%</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4.7%</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Persons of Hispanic or Latino origin, percent, 2000 (b)</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17.9%</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32.4%</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Living in same house in 1995 and 2000, pct. 5 yrs. old &amp; over</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44.7%</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50.2%</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Foreign born persons, percent, 2000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9.0%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26.2%</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Language other than English spoken at home, pct. age 5+, 2000</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15.4%</w:t>
            </w:r>
          </w:p>
        </w:tc>
        <w:tc>
          <w:tcPr>
            <w:tcW w:w="0" w:type="auto"/>
            <w:hideMark/>
          </w:tcPr>
          <w:p w:rsidR="00D72AF2" w:rsidRPr="0033679A" w:rsidRDefault="00D72AF2" w:rsidP="008C4781">
            <w:pPr>
              <w:cnfStyle w:val="000000010000" w:firstRow="0" w:lastRow="0" w:firstColumn="0" w:lastColumn="0" w:oddVBand="0" w:evenVBand="0" w:oddHBand="0" w:evenHBand="1" w:firstRowFirstColumn="0" w:firstRowLastColumn="0" w:lastRowFirstColumn="0" w:lastRowLastColumn="0"/>
            </w:pPr>
            <w:r w:rsidRPr="0033679A">
              <w:t>39.5%</w:t>
            </w:r>
          </w:p>
        </w:tc>
      </w:tr>
      <w:tr w:rsidR="00D72AF2" w:rsidRPr="0033679A" w:rsidTr="008C4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72AF2" w:rsidRPr="0033679A" w:rsidRDefault="00D72AF2" w:rsidP="008C4781">
            <w:pPr>
              <w:spacing w:line="240" w:lineRule="auto"/>
              <w:rPr>
                <w:rFonts w:asciiTheme="majorHAnsi" w:hAnsiTheme="majorHAnsi" w:cs="Arial"/>
                <w:sz w:val="16"/>
                <w:szCs w:val="16"/>
              </w:rPr>
            </w:pP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High school graduates, percent of persons age 25+, 2000</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83.9%</w:t>
            </w:r>
          </w:p>
        </w:tc>
        <w:tc>
          <w:tcPr>
            <w:tcW w:w="0" w:type="auto"/>
            <w:hideMark/>
          </w:tcPr>
          <w:p w:rsidR="00D72AF2" w:rsidRPr="0033679A" w:rsidRDefault="00D72AF2" w:rsidP="008C4781">
            <w:pPr>
              <w:cnfStyle w:val="000000100000" w:firstRow="0" w:lastRow="0" w:firstColumn="0" w:lastColumn="0" w:oddVBand="0" w:evenVBand="0" w:oddHBand="1" w:evenHBand="0" w:firstRowFirstColumn="0" w:firstRowLastColumn="0" w:lastRowFirstColumn="0" w:lastRowLastColumn="0"/>
            </w:pPr>
            <w:r w:rsidRPr="0033679A">
              <w:t>76.8%</w:t>
            </w:r>
          </w:p>
        </w:tc>
      </w:tr>
      <w:tr w:rsidR="00D72AF2" w:rsidRPr="0033679A" w:rsidTr="008C4781">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D72AF2" w:rsidRPr="0033679A" w:rsidRDefault="00D72AF2" w:rsidP="008C4781">
            <w:r w:rsidRPr="0033679A">
              <w:t> </w:t>
            </w:r>
            <w:r>
              <w:t>Courtesy of the US Census Bureau</w:t>
            </w:r>
          </w:p>
        </w:tc>
      </w:tr>
    </w:tbl>
    <w:p w:rsidR="00D72AF2" w:rsidRDefault="00D72AF2" w:rsidP="00D72AF2"/>
    <w:p w:rsidR="00186F65" w:rsidRDefault="00186F65" w:rsidP="00366596"/>
    <w:p w:rsidR="007C2D3F" w:rsidRDefault="007C2D3F" w:rsidP="00366596"/>
    <w:p w:rsidR="00B8453E" w:rsidRPr="002576FA" w:rsidRDefault="00B8453E" w:rsidP="00B8453E">
      <w:pPr>
        <w:pStyle w:val="Heading2"/>
      </w:pPr>
      <w:bookmarkStart w:id="88" w:name="_Toc280307393"/>
      <w:r w:rsidRPr="002576FA">
        <w:t>Education Statistics for Vacaville, CA</w:t>
      </w:r>
      <w:bookmarkEnd w:id="88"/>
    </w:p>
    <w:p w:rsidR="00B8453E" w:rsidRPr="008C1961" w:rsidRDefault="00B8453E" w:rsidP="00366596">
      <w:r w:rsidRPr="008C1961">
        <w:t>Vacaville Unified School District Statistics</w:t>
      </w:r>
    </w:p>
    <w:p w:rsidR="00B8453E" w:rsidRPr="008C1961" w:rsidRDefault="00B8453E" w:rsidP="00366596">
      <w:r w:rsidRPr="008C1961">
        <w:t>The Vacaville Unified School District is located in Vacaville, CA and includes 17 schools that serve 13,166 students in grades KG through 12.  </w:t>
      </w:r>
    </w:p>
    <w:p w:rsidR="00B8453E" w:rsidRPr="008C1961" w:rsidRDefault="00B8453E" w:rsidP="00366596">
      <w:r w:rsidRPr="008C1961">
        <w:t>District Spending</w:t>
      </w:r>
    </w:p>
    <w:p w:rsidR="00B8453E" w:rsidRPr="008C1961" w:rsidRDefault="00B8453E" w:rsidP="00366596">
      <w:r w:rsidRPr="008C1961">
        <w:t>The Vacaville Unified School District spends $7,896 per pupil in current expenditures.  The district spends 61% on instruction, 36% on support services, and 3% on other elementary and secondary expenditures.</w:t>
      </w:r>
    </w:p>
    <w:p w:rsidR="00B8453E" w:rsidRPr="008C1961" w:rsidRDefault="00B8453E" w:rsidP="00366596">
      <w:r w:rsidRPr="008C1961">
        <w:lastRenderedPageBreak/>
        <w:t>District Student-Teacher Ratio</w:t>
      </w:r>
    </w:p>
    <w:p w:rsidR="00B8453E" w:rsidRPr="008C1961" w:rsidRDefault="00B8453E" w:rsidP="00366596">
      <w:r w:rsidRPr="008C1961">
        <w:t>The Vacaville Unified School District has 20 students for every full-time equivalent teacher, with the state average being 21 students per full-time equivalent teacher.  </w:t>
      </w:r>
    </w:p>
    <w:p w:rsidR="00B8453E" w:rsidRPr="008C1961" w:rsidRDefault="00B8453E" w:rsidP="00366596">
      <w:r w:rsidRPr="008C1961">
        <w:t>District Student Information</w:t>
      </w:r>
    </w:p>
    <w:p w:rsidR="00B8453E" w:rsidRPr="008C1961" w:rsidRDefault="00B8453E" w:rsidP="00366596">
      <w:r w:rsidRPr="008C1961">
        <w:t xml:space="preserve">The Vacaville Unified School District had </w:t>
      </w:r>
      <w:r>
        <w:t>in</w:t>
      </w:r>
      <w:r w:rsidRPr="008C1961">
        <w:t xml:space="preserve"> grades 9-12 </w:t>
      </w:r>
      <w:r>
        <w:t xml:space="preserve">a </w:t>
      </w:r>
      <w:r w:rsidRPr="008C1961">
        <w:t xml:space="preserve">dropout rate of 5% in 2007.  The national </w:t>
      </w:r>
      <w:r>
        <w:t xml:space="preserve">average of </w:t>
      </w:r>
      <w:r w:rsidRPr="008C1961">
        <w:t>grades 9-12</w:t>
      </w:r>
      <w:r w:rsidR="00294DBF">
        <w:t>, had</w:t>
      </w:r>
      <w:r>
        <w:t xml:space="preserve"> a </w:t>
      </w:r>
      <w:r w:rsidRPr="008C1961">
        <w:t>dropout rate in 2007 was 4.4%.  </w:t>
      </w:r>
    </w:p>
    <w:p w:rsidR="00B8453E" w:rsidRPr="008C1961" w:rsidRDefault="00B8453E" w:rsidP="00366596">
      <w:r w:rsidRPr="008C1961">
        <w:t>In the Vacaville Unified School District, 11% of students have an IEP (Individualized Education Program).  An IEP is a written plan for students eligible for special needs services.  </w:t>
      </w:r>
    </w:p>
    <w:p w:rsidR="00B8453E" w:rsidRPr="008C1961" w:rsidRDefault="00B8453E" w:rsidP="00366596">
      <w:r w:rsidRPr="008C1961">
        <w:t>The Vacaville Unified School District serves 11% English Language Learners (ELL).  ELL students are in the process of acquiring and learning English Language skills.  </w:t>
      </w:r>
    </w:p>
    <w:p w:rsidR="00B8453E" w:rsidRDefault="00B8453E" w:rsidP="00366596">
      <w:r w:rsidRPr="00FC24C4">
        <w:t>In the Vacaville Unified School District, 1% of students are migrant students.  Migrant students are the children of migrant workers and often relocate from school to school.  </w:t>
      </w:r>
    </w:p>
    <w:p w:rsidR="00B8453E" w:rsidRDefault="00B8453E" w:rsidP="00366596">
      <w:r w:rsidRPr="00FC24C4">
        <w:t xml:space="preserve">The following table conveys information on higher education in the Vacaville region: </w:t>
      </w:r>
    </w:p>
    <w:p w:rsidR="00B8453E" w:rsidRPr="00FC24C4" w:rsidRDefault="00B8453E" w:rsidP="00B8453E">
      <w:pPr>
        <w:pStyle w:val="Heading2"/>
      </w:pPr>
      <w:bookmarkStart w:id="89" w:name="_Toc280307394"/>
      <w:r>
        <w:t>Vacaville Education-Table-</w:t>
      </w:r>
      <w:r w:rsidR="007A5458">
        <w:t>1</w:t>
      </w:r>
      <w:bookmarkEnd w:id="89"/>
    </w:p>
    <w:tbl>
      <w:tblPr>
        <w:tblW w:w="4500" w:type="dxa"/>
        <w:tblCellSpacing w:w="0" w:type="dxa"/>
        <w:tblCellMar>
          <w:left w:w="0" w:type="dxa"/>
          <w:right w:w="0" w:type="dxa"/>
        </w:tblCellMar>
        <w:tblLook w:val="04A0" w:firstRow="1" w:lastRow="0" w:firstColumn="1" w:lastColumn="0" w:noHBand="0" w:noVBand="1"/>
      </w:tblPr>
      <w:tblGrid>
        <w:gridCol w:w="4282"/>
        <w:gridCol w:w="218"/>
      </w:tblGrid>
      <w:tr w:rsidR="00B8453E" w:rsidRPr="003403BC" w:rsidTr="00366596">
        <w:trPr>
          <w:tblCellSpacing w:w="0" w:type="dxa"/>
        </w:trPr>
        <w:tc>
          <w:tcPr>
            <w:tcW w:w="0" w:type="auto"/>
            <w:gridSpan w:val="2"/>
            <w:tcBorders>
              <w:bottom w:val="single" w:sz="4" w:space="0" w:color="E5E5E5"/>
            </w:tcBorders>
            <w:shd w:val="clear" w:color="auto" w:fill="E5E5E5"/>
            <w:tcMar>
              <w:top w:w="48" w:type="dxa"/>
              <w:left w:w="48" w:type="dxa"/>
              <w:bottom w:w="48" w:type="dxa"/>
              <w:right w:w="48" w:type="dxa"/>
            </w:tcMar>
            <w:vAlign w:val="center"/>
            <w:hideMark/>
          </w:tcPr>
          <w:p w:rsidR="00B8453E" w:rsidRPr="003403BC" w:rsidRDefault="00B8453E" w:rsidP="00366596">
            <w:r w:rsidRPr="003403BC">
              <w:t>Vacaville Education</w:t>
            </w:r>
          </w:p>
        </w:tc>
      </w:tr>
      <w:tr w:rsidR="00B8453E" w:rsidRPr="003403BC" w:rsidTr="00366596">
        <w:trPr>
          <w:tblCellSpacing w:w="0" w:type="dxa"/>
        </w:trPr>
        <w:tc>
          <w:tcPr>
            <w:tcW w:w="0" w:type="auto"/>
            <w:gridSpan w:val="2"/>
            <w:tcBorders>
              <w:bottom w:val="single" w:sz="4" w:space="0" w:color="E5E5E5"/>
            </w:tcBorders>
            <w:shd w:val="clear" w:color="auto" w:fill="E5E5E5"/>
            <w:tcMar>
              <w:top w:w="48" w:type="dxa"/>
              <w:left w:w="48" w:type="dxa"/>
              <w:bottom w:w="48" w:type="dxa"/>
              <w:right w:w="48" w:type="dxa"/>
            </w:tcMar>
            <w:vAlign w:val="center"/>
            <w:hideMark/>
          </w:tcPr>
          <w:p w:rsidR="00B8453E" w:rsidRPr="003403BC" w:rsidRDefault="00B8453E" w:rsidP="00366596">
            <w:pPr>
              <w:spacing w:line="240" w:lineRule="auto"/>
              <w:rPr>
                <w:b/>
                <w:bCs/>
              </w:rPr>
            </w:pPr>
          </w:p>
        </w:tc>
      </w:tr>
      <w:tr w:rsidR="00B8453E" w:rsidRPr="003403BC" w:rsidTr="00366596">
        <w:trPr>
          <w:tblCellSpacing w:w="0" w:type="dxa"/>
        </w:trPr>
        <w:tc>
          <w:tcPr>
            <w:tcW w:w="0" w:type="auto"/>
            <w:gridSpan w:val="2"/>
            <w:tcBorders>
              <w:bottom w:val="single" w:sz="4" w:space="0" w:color="E5E5E5"/>
            </w:tcBorders>
            <w:shd w:val="clear" w:color="auto" w:fill="E5E5E5"/>
            <w:tcMar>
              <w:top w:w="48" w:type="dxa"/>
              <w:left w:w="48" w:type="dxa"/>
              <w:bottom w:w="48" w:type="dxa"/>
              <w:right w:w="48" w:type="dxa"/>
            </w:tcMar>
            <w:vAlign w:val="center"/>
            <w:hideMark/>
          </w:tcPr>
          <w:p w:rsidR="00B8453E" w:rsidRPr="003403BC" w:rsidRDefault="00B8453E" w:rsidP="00366596">
            <w:pPr>
              <w:spacing w:line="240" w:lineRule="auto"/>
              <w:rPr>
                <w:b/>
                <w:bCs/>
              </w:rPr>
            </w:pPr>
          </w:p>
        </w:tc>
      </w:tr>
      <w:tr w:rsidR="00B8453E" w:rsidRPr="003403BC" w:rsidTr="00366596">
        <w:trPr>
          <w:tblCellSpacing w:w="0" w:type="dxa"/>
        </w:trPr>
        <w:tc>
          <w:tcPr>
            <w:tcW w:w="0" w:type="auto"/>
            <w:tcBorders>
              <w:bottom w:val="single" w:sz="4" w:space="0" w:color="E5E5E5"/>
            </w:tcBorders>
            <w:tcMar>
              <w:top w:w="48" w:type="dxa"/>
              <w:left w:w="48" w:type="dxa"/>
              <w:bottom w:w="48" w:type="dxa"/>
              <w:right w:w="48" w:type="dxa"/>
            </w:tcMar>
            <w:vAlign w:val="center"/>
            <w:hideMark/>
          </w:tcPr>
          <w:p w:rsidR="00B8453E" w:rsidRPr="003403BC" w:rsidRDefault="00B8453E" w:rsidP="00366596">
            <w:r w:rsidRPr="003403BC">
              <w:t>Colleges, universities and professional schools</w:t>
            </w:r>
            <w:r w:rsidRPr="003403BC">
              <w:br/>
              <w:t>(within 30 miles)</w:t>
            </w:r>
          </w:p>
        </w:tc>
        <w:tc>
          <w:tcPr>
            <w:tcW w:w="0" w:type="auto"/>
            <w:tcBorders>
              <w:bottom w:val="single" w:sz="4" w:space="0" w:color="E5E5E5"/>
            </w:tcBorders>
            <w:tcMar>
              <w:top w:w="48" w:type="dxa"/>
              <w:left w:w="48" w:type="dxa"/>
              <w:bottom w:w="48" w:type="dxa"/>
              <w:right w:w="48" w:type="dxa"/>
            </w:tcMar>
            <w:hideMark/>
          </w:tcPr>
          <w:p w:rsidR="00B8453E" w:rsidRPr="003403BC" w:rsidRDefault="00B8453E" w:rsidP="00366596">
            <w:r w:rsidRPr="003403BC">
              <w:t>4</w:t>
            </w:r>
          </w:p>
        </w:tc>
      </w:tr>
      <w:tr w:rsidR="00B8453E" w:rsidRPr="003403BC" w:rsidTr="00366596">
        <w:trPr>
          <w:tblCellSpacing w:w="0" w:type="dxa"/>
        </w:trPr>
        <w:tc>
          <w:tcPr>
            <w:tcW w:w="0" w:type="auto"/>
            <w:tcBorders>
              <w:bottom w:val="single" w:sz="4" w:space="0" w:color="E5E5E5"/>
            </w:tcBorders>
            <w:tcMar>
              <w:top w:w="48" w:type="dxa"/>
              <w:left w:w="48" w:type="dxa"/>
              <w:bottom w:w="48" w:type="dxa"/>
              <w:right w:w="48" w:type="dxa"/>
            </w:tcMar>
            <w:vAlign w:val="center"/>
            <w:hideMark/>
          </w:tcPr>
          <w:p w:rsidR="00B8453E" w:rsidRPr="003403BC" w:rsidRDefault="00B8453E" w:rsidP="00366596">
            <w:r w:rsidRPr="003403BC">
              <w:t>Junior colleges and technical institutes</w:t>
            </w:r>
            <w:r w:rsidRPr="003403BC">
              <w:br/>
              <w:t>(within 30 miles)</w:t>
            </w:r>
          </w:p>
        </w:tc>
        <w:tc>
          <w:tcPr>
            <w:tcW w:w="0" w:type="auto"/>
            <w:tcBorders>
              <w:bottom w:val="single" w:sz="4" w:space="0" w:color="E5E5E5"/>
            </w:tcBorders>
            <w:tcMar>
              <w:top w:w="48" w:type="dxa"/>
              <w:left w:w="48" w:type="dxa"/>
              <w:bottom w:w="48" w:type="dxa"/>
              <w:right w:w="48" w:type="dxa"/>
            </w:tcMar>
            <w:hideMark/>
          </w:tcPr>
          <w:p w:rsidR="00B8453E" w:rsidRPr="003403BC" w:rsidRDefault="00B8453E" w:rsidP="00366596">
            <w:r w:rsidRPr="003403BC">
              <w:t>9</w:t>
            </w:r>
          </w:p>
        </w:tc>
      </w:tr>
    </w:tbl>
    <w:p w:rsidR="00B8453E" w:rsidRDefault="00B8453E" w:rsidP="00366596">
      <w:pPr>
        <w:rPr>
          <w:rStyle w:val="apple-style-span"/>
          <w:rFonts w:cs="Arial"/>
          <w:bCs/>
          <w:i/>
          <w:u w:val="single"/>
        </w:rPr>
      </w:pPr>
      <w:r w:rsidRPr="00E4415E">
        <w:rPr>
          <w:rStyle w:val="apple-style-span"/>
          <w:rFonts w:cs="Arial"/>
          <w:b/>
          <w:bCs/>
          <w:u w:val="single"/>
        </w:rPr>
        <w:t>EDUCATION</w:t>
      </w:r>
    </w:p>
    <w:p w:rsidR="00B8453E" w:rsidRDefault="00B8453E" w:rsidP="00366596">
      <w:pPr>
        <w:rPr>
          <w:rStyle w:val="apple-style-span"/>
          <w:rFonts w:cs="Arial"/>
        </w:rPr>
      </w:pPr>
      <w:r w:rsidRPr="00E4415E">
        <w:rPr>
          <w:rStyle w:val="apple-style-span"/>
          <w:rFonts w:cs="Arial"/>
          <w:bCs/>
          <w:i/>
          <w:u w:val="single"/>
        </w:rPr>
        <w:lastRenderedPageBreak/>
        <w:t>High School Graduate or higher</w:t>
      </w:r>
      <w:r w:rsidRPr="00E4415E">
        <w:br/>
      </w:r>
      <w:r w:rsidRPr="00E4415E">
        <w:rPr>
          <w:rStyle w:val="apple-style-span"/>
          <w:rFonts w:cs="Arial"/>
        </w:rPr>
        <w:t>at the time of the last survey, 47,919 people in the community had a high school degree, or 83.9 of the population (compared to the national average of 80.40%).</w:t>
      </w:r>
    </w:p>
    <w:p w:rsidR="00B8453E" w:rsidRPr="00E4415E" w:rsidRDefault="00B8453E" w:rsidP="00366596">
      <w:r w:rsidRPr="00E4415E">
        <w:rPr>
          <w:rStyle w:val="apple-style-span"/>
          <w:rFonts w:cs="Arial"/>
          <w:bCs/>
          <w:i/>
          <w:u w:val="single"/>
        </w:rPr>
        <w:t>Bachelor's Degree or Higher in Vacaville, California</w:t>
      </w:r>
      <w:r w:rsidRPr="00E4415E">
        <w:br/>
      </w:r>
      <w:r w:rsidRPr="00E4415E">
        <w:rPr>
          <w:rStyle w:val="apple-style-span"/>
          <w:rFonts w:cs="Arial"/>
        </w:rPr>
        <w:t>11,083 people in Vacaville also had a Bachelor’s degree or higher, which represented 19.4 of the total population (National average was 24.40%).</w:t>
      </w:r>
    </w:p>
    <w:p w:rsidR="007C2D3F" w:rsidRDefault="007C2D3F" w:rsidP="00366596"/>
    <w:p w:rsidR="007C2D3F" w:rsidRDefault="007C2D3F" w:rsidP="00366596"/>
    <w:p w:rsidR="00755B63" w:rsidRDefault="00755B63" w:rsidP="008C0CAC">
      <w:pPr>
        <w:pStyle w:val="Heading2"/>
        <w:spacing w:line="240" w:lineRule="auto"/>
      </w:pPr>
      <w:bookmarkStart w:id="90" w:name="_Toc280292450"/>
      <w:bookmarkStart w:id="91" w:name="_Toc280307395"/>
      <w:r>
        <w:t xml:space="preserve">H&amp;R Block Competition </w:t>
      </w:r>
      <w:r w:rsidR="007B3369">
        <w:t>Comparison Table-</w:t>
      </w:r>
      <w:bookmarkEnd w:id="90"/>
      <w:r w:rsidR="007A5458">
        <w:t>2</w:t>
      </w:r>
      <w:bookmarkEnd w:id="91"/>
    </w:p>
    <w:p w:rsidR="00755B63" w:rsidRPr="00661BF6" w:rsidRDefault="00755B63" w:rsidP="00366596">
      <w:r w:rsidRPr="00661BF6">
        <w:t xml:space="preserve">The following table provides further information H&amp;R Block’s greatest competition in the general Market: </w:t>
      </w:r>
    </w:p>
    <w:tbl>
      <w:tblPr>
        <w:tblW w:w="5000" w:type="pct"/>
        <w:tblCellSpacing w:w="0" w:type="dxa"/>
        <w:tblBorders>
          <w:top w:val="single" w:sz="4" w:space="0" w:color="A1A1A1"/>
          <w:left w:val="single" w:sz="4" w:space="0" w:color="A1A1A1"/>
          <w:right w:val="single" w:sz="4" w:space="0" w:color="A1A1A1"/>
        </w:tblBorders>
        <w:shd w:val="clear" w:color="auto" w:fill="EDF2F5"/>
        <w:tblCellMar>
          <w:top w:w="60" w:type="dxa"/>
          <w:left w:w="72" w:type="dxa"/>
          <w:bottom w:w="60" w:type="dxa"/>
          <w:right w:w="30" w:type="dxa"/>
        </w:tblCellMar>
        <w:tblLook w:val="04A0" w:firstRow="1" w:lastRow="0" w:firstColumn="1" w:lastColumn="0" w:noHBand="0" w:noVBand="1"/>
      </w:tblPr>
      <w:tblGrid>
        <w:gridCol w:w="8997"/>
        <w:gridCol w:w="485"/>
      </w:tblGrid>
      <w:tr w:rsidR="00755B63" w:rsidTr="00755B63">
        <w:trPr>
          <w:tblCellSpacing w:w="0" w:type="dxa"/>
        </w:trPr>
        <w:tc>
          <w:tcPr>
            <w:tcW w:w="0" w:type="auto"/>
            <w:shd w:val="clear" w:color="auto" w:fill="EDF2F5"/>
            <w:vAlign w:val="center"/>
            <w:hideMark/>
          </w:tcPr>
          <w:p w:rsidR="00755B63" w:rsidRDefault="00755B63" w:rsidP="00A30E99">
            <w:pPr>
              <w:pStyle w:val="NoSpacing"/>
            </w:pPr>
            <w:r>
              <w:t>Direct Competitor Comparison</w:t>
            </w:r>
          </w:p>
        </w:tc>
        <w:tc>
          <w:tcPr>
            <w:tcW w:w="0" w:type="auto"/>
            <w:shd w:val="clear" w:color="auto" w:fill="EDF2F5"/>
            <w:vAlign w:val="center"/>
            <w:hideMark/>
          </w:tcPr>
          <w:p w:rsidR="00755B63" w:rsidRDefault="00755B63" w:rsidP="00A30E99">
            <w:pPr>
              <w:pStyle w:val="NoSpacing"/>
            </w:pPr>
            <w:r>
              <w:t> </w:t>
            </w:r>
          </w:p>
        </w:tc>
      </w:tr>
    </w:tbl>
    <w:p w:rsidR="00755B63" w:rsidRDefault="00755B63" w:rsidP="00A30E99">
      <w:pPr>
        <w:pStyle w:val="NoSpacing"/>
        <w:rPr>
          <w:rStyle w:val="apple-style-span"/>
          <w:rFonts w:ascii="Arial" w:hAnsi="Arial" w:cs="Arial"/>
          <w:vanish/>
          <w:color w:val="000000"/>
          <w:sz w:val="14"/>
          <w:szCs w:val="14"/>
        </w:rPr>
      </w:pPr>
    </w:p>
    <w:tbl>
      <w:tblPr>
        <w:tblW w:w="5000" w:type="pct"/>
        <w:tblCellSpacing w:w="0" w:type="dxa"/>
        <w:shd w:val="clear" w:color="auto" w:fill="A1A1A1"/>
        <w:tblCellMar>
          <w:left w:w="0" w:type="dxa"/>
          <w:right w:w="0" w:type="dxa"/>
        </w:tblCellMar>
        <w:tblLook w:val="04A0" w:firstRow="1" w:lastRow="0" w:firstColumn="1" w:lastColumn="0" w:noHBand="0" w:noVBand="1"/>
      </w:tblPr>
      <w:tblGrid>
        <w:gridCol w:w="9360"/>
      </w:tblGrid>
      <w:tr w:rsidR="00755B63" w:rsidTr="00755B63">
        <w:trPr>
          <w:tblCellSpacing w:w="0" w:type="dxa"/>
        </w:trPr>
        <w:tc>
          <w:tcPr>
            <w:tcW w:w="0" w:type="auto"/>
            <w:shd w:val="clear" w:color="auto" w:fill="A1A1A1"/>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521"/>
              <w:gridCol w:w="1646"/>
              <w:gridCol w:w="1545"/>
              <w:gridCol w:w="1658"/>
              <w:gridCol w:w="1438"/>
              <w:gridCol w:w="1552"/>
            </w:tblGrid>
            <w:tr w:rsidR="00755B63" w:rsidTr="00755B63">
              <w:trPr>
                <w:tblCellSpacing w:w="7" w:type="dxa"/>
              </w:trPr>
              <w:tc>
                <w:tcPr>
                  <w:tcW w:w="0" w:type="auto"/>
                  <w:shd w:val="clear" w:color="auto" w:fill="EEEEEE"/>
                  <w:tcMar>
                    <w:top w:w="36" w:type="dxa"/>
                    <w:left w:w="96" w:type="dxa"/>
                    <w:bottom w:w="36" w:type="dxa"/>
                    <w:right w:w="96" w:type="dxa"/>
                  </w:tcMar>
                  <w:vAlign w:val="center"/>
                  <w:hideMark/>
                </w:tcPr>
                <w:p w:rsidR="00755B63" w:rsidRDefault="00755B63" w:rsidP="00A30E99">
                  <w:pPr>
                    <w:pStyle w:val="NoSpacing"/>
                    <w:rPr>
                      <w:rFonts w:ascii="Arial" w:hAnsi="Arial" w:cs="Arial"/>
                      <w:sz w:val="14"/>
                      <w:szCs w:val="14"/>
                    </w:rPr>
                  </w:pPr>
                </w:p>
              </w:tc>
              <w:tc>
                <w:tcPr>
                  <w:tcW w:w="0" w:type="auto"/>
                  <w:shd w:val="clear" w:color="auto" w:fill="EEEEEE"/>
                  <w:tcMar>
                    <w:top w:w="36" w:type="dxa"/>
                    <w:left w:w="96" w:type="dxa"/>
                    <w:bottom w:w="36" w:type="dxa"/>
                    <w:right w:w="96" w:type="dxa"/>
                  </w:tcMar>
                  <w:vAlign w:val="center"/>
                  <w:hideMark/>
                </w:tcPr>
                <w:p w:rsidR="00755B63" w:rsidRDefault="008C4781" w:rsidP="00A30E99">
                  <w:pPr>
                    <w:pStyle w:val="NoSpacing"/>
                    <w:rPr>
                      <w:rFonts w:ascii="Arial" w:hAnsi="Arial" w:cs="Arial"/>
                      <w:sz w:val="14"/>
                      <w:szCs w:val="14"/>
                    </w:rPr>
                  </w:pPr>
                  <w:hyperlink r:id="rId15" w:history="1">
                    <w:r w:rsidR="00755B63">
                      <w:rPr>
                        <w:rStyle w:val="Hyperlink"/>
                        <w:rFonts w:ascii="Arial" w:hAnsi="Arial" w:cs="Arial"/>
                        <w:color w:val="1A5488"/>
                        <w:sz w:val="14"/>
                        <w:szCs w:val="14"/>
                      </w:rPr>
                      <w:t>HRB</w:t>
                    </w:r>
                  </w:hyperlink>
                </w:p>
              </w:tc>
              <w:tc>
                <w:tcPr>
                  <w:tcW w:w="0" w:type="auto"/>
                  <w:shd w:val="clear" w:color="auto" w:fill="EEEEEE"/>
                  <w:tcMar>
                    <w:top w:w="36" w:type="dxa"/>
                    <w:left w:w="96" w:type="dxa"/>
                    <w:bottom w:w="36" w:type="dxa"/>
                    <w:right w:w="96" w:type="dxa"/>
                  </w:tcMar>
                  <w:vAlign w:val="center"/>
                  <w:hideMark/>
                </w:tcPr>
                <w:p w:rsidR="00755B63" w:rsidRDefault="008C4781" w:rsidP="00A30E99">
                  <w:pPr>
                    <w:pStyle w:val="NoSpacing"/>
                    <w:rPr>
                      <w:rFonts w:ascii="Arial" w:hAnsi="Arial" w:cs="Arial"/>
                      <w:sz w:val="14"/>
                      <w:szCs w:val="14"/>
                    </w:rPr>
                  </w:pPr>
                  <w:hyperlink r:id="rId16" w:history="1">
                    <w:r w:rsidR="00755B63">
                      <w:rPr>
                        <w:rStyle w:val="Hyperlink"/>
                        <w:rFonts w:ascii="Arial" w:hAnsi="Arial" w:cs="Arial"/>
                        <w:color w:val="1A5488"/>
                        <w:sz w:val="14"/>
                        <w:szCs w:val="14"/>
                      </w:rPr>
                      <w:t>INTU</w:t>
                    </w:r>
                  </w:hyperlink>
                </w:p>
              </w:tc>
              <w:tc>
                <w:tcPr>
                  <w:tcW w:w="0" w:type="auto"/>
                  <w:shd w:val="clear" w:color="auto" w:fill="EEEEEE"/>
                  <w:tcMar>
                    <w:top w:w="36" w:type="dxa"/>
                    <w:left w:w="96" w:type="dxa"/>
                    <w:bottom w:w="36" w:type="dxa"/>
                    <w:right w:w="96" w:type="dxa"/>
                  </w:tcMar>
                  <w:vAlign w:val="center"/>
                  <w:hideMark/>
                </w:tcPr>
                <w:p w:rsidR="00755B63" w:rsidRDefault="008C4781" w:rsidP="00A30E99">
                  <w:pPr>
                    <w:pStyle w:val="NoSpacing"/>
                    <w:rPr>
                      <w:rFonts w:ascii="Arial" w:hAnsi="Arial" w:cs="Arial"/>
                      <w:sz w:val="14"/>
                      <w:szCs w:val="14"/>
                    </w:rPr>
                  </w:pPr>
                  <w:hyperlink r:id="rId17" w:history="1">
                    <w:r w:rsidR="00755B63">
                      <w:rPr>
                        <w:rStyle w:val="Hyperlink"/>
                        <w:rFonts w:ascii="Arial" w:hAnsi="Arial" w:cs="Arial"/>
                        <w:color w:val="1A5488"/>
                        <w:sz w:val="14"/>
                        <w:szCs w:val="14"/>
                      </w:rPr>
                      <w:t>JTX</w:t>
                    </w:r>
                  </w:hyperlink>
                </w:p>
              </w:tc>
              <w:tc>
                <w:tcPr>
                  <w:tcW w:w="0" w:type="auto"/>
                  <w:shd w:val="clear" w:color="auto" w:fill="EEEEEE"/>
                  <w:tcMar>
                    <w:top w:w="36" w:type="dxa"/>
                    <w:left w:w="96" w:type="dxa"/>
                    <w:bottom w:w="36" w:type="dxa"/>
                    <w:right w:w="96" w:type="dxa"/>
                  </w:tcMar>
                  <w:vAlign w:val="center"/>
                  <w:hideMark/>
                </w:tcPr>
                <w:p w:rsidR="00755B63" w:rsidRDefault="00755B63" w:rsidP="00A30E99">
                  <w:pPr>
                    <w:pStyle w:val="NoSpacing"/>
                  </w:pPr>
                  <w:r>
                    <w:t>PVT1</w:t>
                  </w:r>
                </w:p>
              </w:tc>
              <w:tc>
                <w:tcPr>
                  <w:tcW w:w="0" w:type="auto"/>
                  <w:shd w:val="clear" w:color="auto" w:fill="EEEEEE"/>
                  <w:tcMar>
                    <w:top w:w="36" w:type="dxa"/>
                    <w:left w:w="96" w:type="dxa"/>
                    <w:bottom w:w="36" w:type="dxa"/>
                    <w:right w:w="96" w:type="dxa"/>
                  </w:tcMar>
                  <w:vAlign w:val="center"/>
                  <w:hideMark/>
                </w:tcPr>
                <w:p w:rsidR="00755B63" w:rsidRDefault="008C4781" w:rsidP="00A30E99">
                  <w:pPr>
                    <w:pStyle w:val="NoSpacing"/>
                    <w:rPr>
                      <w:rFonts w:ascii="Arial" w:hAnsi="Arial" w:cs="Arial"/>
                      <w:sz w:val="14"/>
                      <w:szCs w:val="14"/>
                    </w:rPr>
                  </w:pPr>
                  <w:hyperlink r:id="rId18" w:history="1">
                    <w:r w:rsidR="00755B63">
                      <w:rPr>
                        <w:rStyle w:val="Hyperlink"/>
                        <w:rFonts w:ascii="Arial" w:hAnsi="Arial" w:cs="Arial"/>
                        <w:color w:val="1A5488"/>
                        <w:sz w:val="14"/>
                        <w:szCs w:val="14"/>
                      </w:rPr>
                      <w:t>Industry</w:t>
                    </w:r>
                  </w:hyperlink>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Market Cap:</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4.06B</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14.83B</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21.98M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214.22M</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Employees:</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7,700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7,700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305</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280</w:t>
                  </w:r>
                  <w:r>
                    <w:rPr>
                      <w:sz w:val="15"/>
                      <w:szCs w:val="15"/>
                      <w:vertAlign w:val="superscript"/>
                    </w:rPr>
                    <w:t>1</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1.93K</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Qtrly Rev Growth (yoy):</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-0.40%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12.20%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-12.30%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11.10%</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Revenue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3.87B</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3.51B</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213.14M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87.60M</w:t>
                  </w:r>
                  <w:r>
                    <w:rPr>
                      <w:sz w:val="15"/>
                      <w:szCs w:val="15"/>
                      <w:vertAlign w:val="superscript"/>
                    </w:rPr>
                    <w:t>1</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230.26M</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Gross Margin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39.13%</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82.49%</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38.84%</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34.14%</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EBITDA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990.54M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1.10B</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36.74M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40.29M</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Operating Margin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22.86%</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24.62%</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14.53%</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6.92%</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Net Income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490.38M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538.00M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-269.61M</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EPS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1.46</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1.77</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-9.41</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0.49</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lastRenderedPageBreak/>
                    <w:t>P/E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9.02</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26.59</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13.86</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PEG (5 yr expected):</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0.84</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1.47</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-1.00</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1.39</w:t>
                  </w:r>
                </w:p>
              </w:tc>
            </w:tr>
            <w:tr w:rsidR="00755B63" w:rsidTr="00755B63">
              <w:trPr>
                <w:tblCellSpacing w:w="7" w:type="dxa"/>
              </w:trPr>
              <w:tc>
                <w:tcPr>
                  <w:tcW w:w="1500" w:type="dxa"/>
                  <w:shd w:val="clear" w:color="auto" w:fill="F7F7F7"/>
                  <w:noWrap/>
                  <w:tcMar>
                    <w:top w:w="36" w:type="dxa"/>
                    <w:left w:w="96" w:type="dxa"/>
                    <w:bottom w:w="36" w:type="dxa"/>
                    <w:right w:w="240" w:type="dxa"/>
                  </w:tcMar>
                  <w:vAlign w:val="center"/>
                  <w:hideMark/>
                </w:tcPr>
                <w:p w:rsidR="00755B63" w:rsidRDefault="00755B63" w:rsidP="00A30E99">
                  <w:pPr>
                    <w:pStyle w:val="NoSpacing"/>
                  </w:pPr>
                  <w:r>
                    <w:t>P/S (ttm):</w:t>
                  </w:r>
                </w:p>
              </w:tc>
              <w:tc>
                <w:tcPr>
                  <w:tcW w:w="0" w:type="auto"/>
                  <w:shd w:val="clear" w:color="auto" w:fill="FFFFFF"/>
                  <w:tcMar>
                    <w:top w:w="36" w:type="dxa"/>
                    <w:left w:w="96" w:type="dxa"/>
                    <w:bottom w:w="36" w:type="dxa"/>
                    <w:right w:w="96" w:type="dxa"/>
                  </w:tcMar>
                  <w:vAlign w:val="center"/>
                  <w:hideMark/>
                </w:tcPr>
                <w:p w:rsidR="00755B63" w:rsidRDefault="00755B63" w:rsidP="00A30E99">
                  <w:pPr>
                    <w:pStyle w:val="NoSpacing"/>
                  </w:pPr>
                  <w:r>
                    <w:t>1.06</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4.18</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0.11</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N/A</w:t>
                  </w:r>
                </w:p>
              </w:tc>
              <w:tc>
                <w:tcPr>
                  <w:tcW w:w="0" w:type="auto"/>
                  <w:shd w:val="clear" w:color="auto" w:fill="FFFFFF"/>
                  <w:tcMar>
                    <w:top w:w="36" w:type="dxa"/>
                    <w:left w:w="96" w:type="dxa"/>
                    <w:bottom w:w="36" w:type="dxa"/>
                  </w:tcMar>
                  <w:vAlign w:val="center"/>
                  <w:hideMark/>
                </w:tcPr>
                <w:p w:rsidR="00755B63" w:rsidRDefault="00755B63" w:rsidP="00A30E99">
                  <w:pPr>
                    <w:pStyle w:val="NoSpacing"/>
                  </w:pPr>
                  <w:r>
                    <w:t>0.93</w:t>
                  </w:r>
                </w:p>
              </w:tc>
            </w:tr>
          </w:tbl>
          <w:p w:rsidR="00755B63" w:rsidRDefault="00755B63" w:rsidP="00A30E99">
            <w:pPr>
              <w:pStyle w:val="NoSpacing"/>
              <w:rPr>
                <w:rFonts w:ascii="Arial" w:hAnsi="Arial" w:cs="Arial"/>
                <w:sz w:val="14"/>
                <w:szCs w:val="14"/>
              </w:rPr>
            </w:pPr>
          </w:p>
        </w:tc>
      </w:tr>
    </w:tbl>
    <w:p w:rsidR="00755B63" w:rsidRDefault="00755B63" w:rsidP="00A30E99">
      <w:pPr>
        <w:pStyle w:val="NoSpacing"/>
        <w:rPr>
          <w:rStyle w:val="apple-style-span"/>
          <w:rFonts w:ascii="Arial" w:hAnsi="Arial" w:cs="Arial"/>
          <w:vanish/>
          <w:color w:val="000000"/>
          <w:sz w:val="14"/>
          <w:szCs w:val="14"/>
        </w:rPr>
      </w:pPr>
    </w:p>
    <w:tbl>
      <w:tblPr>
        <w:tblW w:w="0" w:type="auto"/>
        <w:tblCellSpacing w:w="0" w:type="dxa"/>
        <w:tblCellMar>
          <w:left w:w="0" w:type="dxa"/>
          <w:right w:w="0" w:type="dxa"/>
        </w:tblCellMar>
        <w:tblLook w:val="04A0" w:firstRow="1" w:lastRow="0" w:firstColumn="1" w:lastColumn="0" w:noHBand="0" w:noVBand="1"/>
      </w:tblPr>
      <w:tblGrid>
        <w:gridCol w:w="55"/>
      </w:tblGrid>
      <w:tr w:rsidR="00755B63" w:rsidTr="00755B63">
        <w:trPr>
          <w:trHeight w:val="75"/>
          <w:tblCellSpacing w:w="0" w:type="dxa"/>
        </w:trPr>
        <w:tc>
          <w:tcPr>
            <w:tcW w:w="0" w:type="auto"/>
            <w:noWrap/>
            <w:vAlign w:val="center"/>
            <w:hideMark/>
          </w:tcPr>
          <w:p w:rsidR="00755B63" w:rsidRDefault="00755B63" w:rsidP="00A30E99">
            <w:pPr>
              <w:pStyle w:val="NoSpacing"/>
            </w:pPr>
            <w:r>
              <w:t> </w:t>
            </w:r>
          </w:p>
        </w:tc>
      </w:tr>
    </w:tbl>
    <w:p w:rsidR="00755B63" w:rsidRDefault="00755B63" w:rsidP="00A30E99">
      <w:pPr>
        <w:pStyle w:val="NoSpacing"/>
        <w:rPr>
          <w:rStyle w:val="apple-style-span"/>
          <w:rFonts w:ascii="Arial" w:hAnsi="Arial" w:cs="Arial"/>
          <w:vanish/>
          <w:color w:val="000000"/>
          <w:sz w:val="14"/>
          <w:szCs w:val="14"/>
        </w:rPr>
      </w:pPr>
    </w:p>
    <w:tbl>
      <w:tblPr>
        <w:tblW w:w="5049" w:type="pct"/>
        <w:tblCellSpacing w:w="0" w:type="dxa"/>
        <w:tblInd w:w="-67" w:type="dxa"/>
        <w:tblCellMar>
          <w:top w:w="15" w:type="dxa"/>
          <w:left w:w="15" w:type="dxa"/>
          <w:bottom w:w="15" w:type="dxa"/>
          <w:right w:w="15" w:type="dxa"/>
        </w:tblCellMar>
        <w:tblLook w:val="04A0" w:firstRow="1" w:lastRow="0" w:firstColumn="1" w:lastColumn="0" w:noHBand="0" w:noVBand="1"/>
      </w:tblPr>
      <w:tblGrid>
        <w:gridCol w:w="9482"/>
      </w:tblGrid>
      <w:tr w:rsidR="00755B63" w:rsidTr="00755B63">
        <w:trPr>
          <w:tblCellSpacing w:w="0" w:type="dxa"/>
        </w:trPr>
        <w:tc>
          <w:tcPr>
            <w:tcW w:w="0" w:type="auto"/>
            <w:hideMark/>
          </w:tcPr>
          <w:p w:rsidR="00755B63" w:rsidRDefault="008C4781" w:rsidP="00A30E99">
            <w:pPr>
              <w:pStyle w:val="NoSpacing"/>
              <w:rPr>
                <w:rFonts w:ascii="Arial" w:hAnsi="Arial" w:cs="Arial"/>
                <w:sz w:val="14"/>
                <w:szCs w:val="14"/>
              </w:rPr>
            </w:pPr>
            <w:hyperlink r:id="rId19" w:history="1">
              <w:r w:rsidR="00755B63">
                <w:rPr>
                  <w:rStyle w:val="Strong"/>
                  <w:rFonts w:ascii="Arial" w:hAnsi="Arial" w:cs="Arial"/>
                  <w:color w:val="1A5488"/>
                  <w:sz w:val="13"/>
                  <w:szCs w:val="13"/>
                </w:rPr>
                <w:t>INTU</w:t>
              </w:r>
            </w:hyperlink>
            <w:r w:rsidR="00755B63">
              <w:rPr>
                <w:rStyle w:val="apple-converted-space"/>
                <w:rFonts w:ascii="Arial" w:hAnsi="Arial" w:cs="Arial"/>
                <w:sz w:val="13"/>
                <w:szCs w:val="13"/>
              </w:rPr>
              <w:t> </w:t>
            </w:r>
            <w:r w:rsidR="00755B63">
              <w:rPr>
                <w:rFonts w:ascii="Arial" w:hAnsi="Arial" w:cs="Arial"/>
                <w:sz w:val="13"/>
                <w:szCs w:val="13"/>
              </w:rPr>
              <w:t>= Intuit Inc.</w:t>
            </w:r>
          </w:p>
        </w:tc>
      </w:tr>
      <w:tr w:rsidR="00755B63" w:rsidTr="00755B63">
        <w:trPr>
          <w:tblCellSpacing w:w="0" w:type="dxa"/>
        </w:trPr>
        <w:tc>
          <w:tcPr>
            <w:tcW w:w="0" w:type="auto"/>
            <w:hideMark/>
          </w:tcPr>
          <w:p w:rsidR="00755B63" w:rsidRDefault="008C4781" w:rsidP="00A30E99">
            <w:pPr>
              <w:pStyle w:val="NoSpacing"/>
              <w:rPr>
                <w:rFonts w:ascii="Arial" w:hAnsi="Arial" w:cs="Arial"/>
                <w:sz w:val="14"/>
                <w:szCs w:val="14"/>
              </w:rPr>
            </w:pPr>
            <w:hyperlink r:id="rId20" w:history="1">
              <w:r w:rsidR="00755B63">
                <w:rPr>
                  <w:rStyle w:val="Strong"/>
                  <w:rFonts w:ascii="Arial" w:hAnsi="Arial" w:cs="Arial"/>
                  <w:color w:val="1A5488"/>
                  <w:sz w:val="13"/>
                  <w:szCs w:val="13"/>
                </w:rPr>
                <w:t>JTX</w:t>
              </w:r>
            </w:hyperlink>
            <w:r w:rsidR="00755B63">
              <w:rPr>
                <w:rStyle w:val="apple-converted-space"/>
                <w:rFonts w:ascii="Arial" w:hAnsi="Arial" w:cs="Arial"/>
                <w:sz w:val="13"/>
                <w:szCs w:val="13"/>
              </w:rPr>
              <w:t> </w:t>
            </w:r>
            <w:r w:rsidR="00755B63">
              <w:rPr>
                <w:rFonts w:ascii="Arial" w:hAnsi="Arial" w:cs="Arial"/>
                <w:sz w:val="13"/>
                <w:szCs w:val="13"/>
              </w:rPr>
              <w:t>= Jackson Hewitt Tax Service Inc.</w:t>
            </w:r>
          </w:p>
        </w:tc>
      </w:tr>
      <w:tr w:rsidR="00755B63" w:rsidTr="00755B63">
        <w:trPr>
          <w:tblCellSpacing w:w="0" w:type="dxa"/>
        </w:trPr>
        <w:tc>
          <w:tcPr>
            <w:tcW w:w="0" w:type="auto"/>
            <w:hideMark/>
          </w:tcPr>
          <w:p w:rsidR="00755B63" w:rsidRDefault="00755B63" w:rsidP="00A30E99">
            <w:pPr>
              <w:pStyle w:val="NoSpacing"/>
              <w:rPr>
                <w:rFonts w:ascii="Arial" w:hAnsi="Arial" w:cs="Arial"/>
                <w:sz w:val="14"/>
                <w:szCs w:val="14"/>
              </w:rPr>
            </w:pPr>
            <w:r>
              <w:rPr>
                <w:rStyle w:val="Strong"/>
                <w:rFonts w:ascii="Arial" w:hAnsi="Arial" w:cs="Arial"/>
                <w:sz w:val="13"/>
                <w:szCs w:val="13"/>
              </w:rPr>
              <w:t>Pvt1</w:t>
            </w:r>
            <w:r>
              <w:rPr>
                <w:rStyle w:val="apple-converted-space"/>
                <w:rFonts w:ascii="Arial" w:hAnsi="Arial" w:cs="Arial"/>
                <w:sz w:val="13"/>
                <w:szCs w:val="13"/>
              </w:rPr>
              <w:t> </w:t>
            </w:r>
            <w:r>
              <w:rPr>
                <w:rFonts w:ascii="Arial" w:hAnsi="Arial" w:cs="Arial"/>
                <w:sz w:val="13"/>
                <w:szCs w:val="13"/>
              </w:rPr>
              <w:t>=</w:t>
            </w:r>
            <w:r>
              <w:rPr>
                <w:rStyle w:val="apple-converted-space"/>
                <w:rFonts w:ascii="Arial" w:hAnsi="Arial" w:cs="Arial"/>
                <w:sz w:val="13"/>
                <w:szCs w:val="13"/>
              </w:rPr>
              <w:t> </w:t>
            </w:r>
            <w:hyperlink r:id="rId21" w:history="1">
              <w:r>
                <w:rPr>
                  <w:rStyle w:val="Hyperlink"/>
                  <w:rFonts w:ascii="Arial" w:hAnsi="Arial" w:cs="Arial"/>
                  <w:color w:val="1A5488"/>
                  <w:sz w:val="13"/>
                  <w:szCs w:val="13"/>
                </w:rPr>
                <w:t>JTH Tax, Inc.</w:t>
              </w:r>
            </w:hyperlink>
            <w:r>
              <w:rPr>
                <w:rStyle w:val="apple-converted-space"/>
                <w:rFonts w:ascii="Arial" w:hAnsi="Arial" w:cs="Arial"/>
                <w:sz w:val="13"/>
                <w:szCs w:val="13"/>
              </w:rPr>
              <w:t> </w:t>
            </w:r>
            <w:r>
              <w:rPr>
                <w:rFonts w:ascii="Arial" w:hAnsi="Arial" w:cs="Arial"/>
                <w:sz w:val="13"/>
                <w:szCs w:val="13"/>
              </w:rPr>
              <w:t>(privately held)</w:t>
            </w:r>
          </w:p>
        </w:tc>
      </w:tr>
    </w:tbl>
    <w:p w:rsidR="007C2D3F" w:rsidRDefault="007C2D3F" w:rsidP="00A30E99">
      <w:pPr>
        <w:pStyle w:val="NoSpacing"/>
      </w:pPr>
    </w:p>
    <w:p w:rsidR="007B3369" w:rsidRDefault="007B3369" w:rsidP="00A30E99">
      <w:pPr>
        <w:pStyle w:val="NoSpacing"/>
      </w:pPr>
    </w:p>
    <w:tbl>
      <w:tblPr>
        <w:tblW w:w="5049" w:type="pct"/>
        <w:tblCellSpacing w:w="0" w:type="dxa"/>
        <w:tblInd w:w="-67" w:type="dxa"/>
        <w:tblCellMar>
          <w:top w:w="15" w:type="dxa"/>
          <w:left w:w="15" w:type="dxa"/>
          <w:bottom w:w="15" w:type="dxa"/>
          <w:right w:w="15" w:type="dxa"/>
        </w:tblCellMar>
        <w:tblLook w:val="04A0" w:firstRow="1" w:lastRow="0" w:firstColumn="1" w:lastColumn="0" w:noHBand="0" w:noVBand="1"/>
      </w:tblPr>
      <w:tblGrid>
        <w:gridCol w:w="9482"/>
      </w:tblGrid>
      <w:tr w:rsidR="007B3369" w:rsidTr="008D4DFA">
        <w:trPr>
          <w:tblCellSpacing w:w="0" w:type="dxa"/>
        </w:trPr>
        <w:tc>
          <w:tcPr>
            <w:tcW w:w="0" w:type="auto"/>
            <w:hideMark/>
          </w:tcPr>
          <w:p w:rsidR="007B3369" w:rsidRDefault="007B3369" w:rsidP="00A30E99">
            <w:pPr>
              <w:pStyle w:val="NoSpacing"/>
              <w:rPr>
                <w:rFonts w:ascii="Arial" w:hAnsi="Arial" w:cs="Arial"/>
                <w:sz w:val="14"/>
                <w:szCs w:val="14"/>
              </w:rPr>
            </w:pPr>
          </w:p>
        </w:tc>
      </w:tr>
      <w:tr w:rsidR="007B3369" w:rsidTr="008D4DFA">
        <w:tblPrEx>
          <w:tblBorders>
            <w:top w:val="single" w:sz="4" w:space="0" w:color="A1A1A1"/>
            <w:left w:val="single" w:sz="4" w:space="0" w:color="A1A1A1"/>
            <w:right w:val="single" w:sz="4" w:space="0" w:color="A1A1A1"/>
          </w:tblBorders>
          <w:shd w:val="clear" w:color="auto" w:fill="EDF2F5"/>
          <w:tblCellMar>
            <w:top w:w="60" w:type="dxa"/>
            <w:left w:w="72" w:type="dxa"/>
            <w:bottom w:w="60" w:type="dxa"/>
            <w:right w:w="30" w:type="dxa"/>
          </w:tblCellMar>
        </w:tblPrEx>
        <w:trPr>
          <w:tblCellSpacing w:w="0" w:type="dxa"/>
        </w:trPr>
        <w:tc>
          <w:tcPr>
            <w:tcW w:w="0" w:type="auto"/>
            <w:shd w:val="clear" w:color="auto" w:fill="EDF2F5"/>
            <w:hideMark/>
          </w:tcPr>
          <w:p w:rsidR="007B3369" w:rsidRDefault="007B3369" w:rsidP="00A30E99">
            <w:pPr>
              <w:pStyle w:val="NoSpacing"/>
            </w:pPr>
            <w:r>
              <w:rPr>
                <w:rStyle w:val="Strong"/>
                <w:rFonts w:ascii="Arial" w:hAnsi="Arial" w:cs="Arial"/>
                <w:sz w:val="14"/>
                <w:szCs w:val="14"/>
              </w:rPr>
              <w:t>op Personal Services Companies by Market Cap</w:t>
            </w:r>
          </w:p>
        </w:tc>
      </w:tr>
    </w:tbl>
    <w:p w:rsidR="007B3369" w:rsidRDefault="007B3369" w:rsidP="00A30E99">
      <w:pPr>
        <w:pStyle w:val="NoSpacing"/>
        <w:rPr>
          <w:rStyle w:val="apple-style-span"/>
          <w:rFonts w:ascii="Arial" w:hAnsi="Arial" w:cs="Arial"/>
          <w:vanish/>
          <w:color w:val="000000"/>
          <w:sz w:val="14"/>
          <w:szCs w:val="14"/>
        </w:rPr>
      </w:pPr>
    </w:p>
    <w:tbl>
      <w:tblPr>
        <w:tblW w:w="5000" w:type="pct"/>
        <w:tblCellSpacing w:w="0" w:type="dxa"/>
        <w:shd w:val="clear" w:color="auto" w:fill="A1A1A1"/>
        <w:tblCellMar>
          <w:left w:w="0" w:type="dxa"/>
          <w:right w:w="0" w:type="dxa"/>
        </w:tblCellMar>
        <w:tblLook w:val="04A0" w:firstRow="1" w:lastRow="0" w:firstColumn="1" w:lastColumn="0" w:noHBand="0" w:noVBand="1"/>
      </w:tblPr>
      <w:tblGrid>
        <w:gridCol w:w="9360"/>
      </w:tblGrid>
      <w:tr w:rsidR="007B3369" w:rsidTr="008D4DFA">
        <w:trPr>
          <w:tblCellSpacing w:w="0" w:type="dxa"/>
        </w:trPr>
        <w:tc>
          <w:tcPr>
            <w:tcW w:w="0" w:type="auto"/>
            <w:shd w:val="clear" w:color="auto" w:fill="A1A1A1"/>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317"/>
              <w:gridCol w:w="1134"/>
              <w:gridCol w:w="1072"/>
              <w:gridCol w:w="1260"/>
              <w:gridCol w:w="1647"/>
              <w:gridCol w:w="930"/>
            </w:tblGrid>
            <w:tr w:rsidR="007B3369" w:rsidTr="008D4DFA">
              <w:trPr>
                <w:tblCellSpacing w:w="7" w:type="dxa"/>
              </w:trPr>
              <w:tc>
                <w:tcPr>
                  <w:tcW w:w="0" w:type="auto"/>
                  <w:shd w:val="clear" w:color="auto" w:fill="EEEEEE"/>
                  <w:tcMar>
                    <w:top w:w="36" w:type="dxa"/>
                    <w:left w:w="96" w:type="dxa"/>
                    <w:bottom w:w="36" w:type="dxa"/>
                    <w:right w:w="96" w:type="dxa"/>
                  </w:tcMar>
                  <w:vAlign w:val="center"/>
                  <w:hideMark/>
                </w:tcPr>
                <w:p w:rsidR="007B3369" w:rsidRDefault="007B3369" w:rsidP="00A30E99">
                  <w:pPr>
                    <w:pStyle w:val="NoSpacing"/>
                  </w:pPr>
                  <w:r>
                    <w:t>Company</w:t>
                  </w:r>
                </w:p>
              </w:tc>
              <w:tc>
                <w:tcPr>
                  <w:tcW w:w="0" w:type="auto"/>
                  <w:shd w:val="clear" w:color="auto" w:fill="EEEEEE"/>
                  <w:tcMar>
                    <w:top w:w="36" w:type="dxa"/>
                    <w:left w:w="96" w:type="dxa"/>
                    <w:bottom w:w="36" w:type="dxa"/>
                    <w:right w:w="96" w:type="dxa"/>
                  </w:tcMar>
                  <w:vAlign w:val="center"/>
                  <w:hideMark/>
                </w:tcPr>
                <w:p w:rsidR="007B3369" w:rsidRDefault="007B3369" w:rsidP="00A30E99">
                  <w:pPr>
                    <w:pStyle w:val="NoSpacing"/>
                  </w:pPr>
                  <w:r>
                    <w:t>Symbol</w:t>
                  </w:r>
                </w:p>
              </w:tc>
              <w:tc>
                <w:tcPr>
                  <w:tcW w:w="0" w:type="auto"/>
                  <w:shd w:val="clear" w:color="auto" w:fill="EEEEEE"/>
                  <w:tcMar>
                    <w:top w:w="36" w:type="dxa"/>
                    <w:left w:w="96" w:type="dxa"/>
                    <w:bottom w:w="36" w:type="dxa"/>
                    <w:right w:w="96" w:type="dxa"/>
                  </w:tcMar>
                  <w:vAlign w:val="center"/>
                  <w:hideMark/>
                </w:tcPr>
                <w:p w:rsidR="007B3369" w:rsidRDefault="007B3369" w:rsidP="00A30E99">
                  <w:pPr>
                    <w:pStyle w:val="NoSpacing"/>
                  </w:pPr>
                  <w:r>
                    <w:t>Price</w:t>
                  </w:r>
                </w:p>
              </w:tc>
              <w:tc>
                <w:tcPr>
                  <w:tcW w:w="0" w:type="auto"/>
                  <w:shd w:val="clear" w:color="auto" w:fill="EEEEEE"/>
                  <w:tcMar>
                    <w:top w:w="36" w:type="dxa"/>
                    <w:left w:w="96" w:type="dxa"/>
                    <w:bottom w:w="36" w:type="dxa"/>
                    <w:right w:w="96" w:type="dxa"/>
                  </w:tcMar>
                  <w:vAlign w:val="center"/>
                  <w:hideMark/>
                </w:tcPr>
                <w:p w:rsidR="007B3369" w:rsidRDefault="007B3369" w:rsidP="00A30E99">
                  <w:pPr>
                    <w:pStyle w:val="NoSpacing"/>
                  </w:pPr>
                  <w:r>
                    <w:t>Change</w:t>
                  </w:r>
                </w:p>
              </w:tc>
              <w:tc>
                <w:tcPr>
                  <w:tcW w:w="0" w:type="auto"/>
                  <w:shd w:val="clear" w:color="auto" w:fill="EEEEEE"/>
                  <w:noWrap/>
                  <w:tcMar>
                    <w:top w:w="36" w:type="dxa"/>
                    <w:left w:w="96" w:type="dxa"/>
                    <w:bottom w:w="36" w:type="dxa"/>
                    <w:right w:w="96" w:type="dxa"/>
                  </w:tcMar>
                  <w:vAlign w:val="center"/>
                  <w:hideMark/>
                </w:tcPr>
                <w:p w:rsidR="007B3369" w:rsidRDefault="007B3369" w:rsidP="00A30E99">
                  <w:pPr>
                    <w:pStyle w:val="NoSpacing"/>
                  </w:pPr>
                  <w:r>
                    <w:t>Market Cap</w:t>
                  </w:r>
                </w:p>
              </w:tc>
              <w:tc>
                <w:tcPr>
                  <w:tcW w:w="0" w:type="auto"/>
                  <w:shd w:val="clear" w:color="auto" w:fill="EEEEEE"/>
                  <w:tcMar>
                    <w:top w:w="36" w:type="dxa"/>
                    <w:left w:w="96" w:type="dxa"/>
                    <w:bottom w:w="36" w:type="dxa"/>
                    <w:right w:w="96" w:type="dxa"/>
                  </w:tcMar>
                  <w:vAlign w:val="center"/>
                  <w:hideMark/>
                </w:tcPr>
                <w:p w:rsidR="007B3369" w:rsidRDefault="007B3369" w:rsidP="00A30E99">
                  <w:pPr>
                    <w:pStyle w:val="NoSpacing"/>
                  </w:pPr>
                  <w:r>
                    <w:t>P/E</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2" w:history="1">
                    <w:r w:rsidR="007B3369">
                      <w:rPr>
                        <w:rStyle w:val="Hyperlink"/>
                        <w:rFonts w:ascii="Arial" w:hAnsi="Arial" w:cs="Arial"/>
                        <w:color w:val="1A5488"/>
                        <w:sz w:val="14"/>
                        <w:szCs w:val="14"/>
                      </w:rPr>
                      <w:t>CPP Group PLC</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3" w:history="1">
                    <w:r w:rsidR="007B3369">
                      <w:rPr>
                        <w:rStyle w:val="Hyperlink"/>
                        <w:rFonts w:ascii="Arial" w:hAnsi="Arial" w:cs="Arial"/>
                        <w:color w:val="1A5488"/>
                        <w:sz w:val="14"/>
                        <w:szCs w:val="14"/>
                      </w:rPr>
                      <w:t>CPP.L</w:t>
                    </w:r>
                  </w:hyperlink>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275.00</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1" name="Picture 1"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
                                <pic:cNvPicPr>
                                  <a:picLocks noChangeAspect="1" noChangeArrowheads="1"/>
                                </pic:cNvPicPr>
                              </pic:nvPicPr>
                              <pic:blipFill>
                                <a:blip r:embed="rId24"/>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1.79%</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N/A</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N/A</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5" w:history="1">
                    <w:r w:rsidR="007B3369">
                      <w:rPr>
                        <w:rStyle w:val="Hyperlink"/>
                        <w:rFonts w:ascii="Arial" w:hAnsi="Arial" w:cs="Arial"/>
                        <w:color w:val="1A5488"/>
                        <w:sz w:val="14"/>
                        <w:szCs w:val="14"/>
                      </w:rPr>
                      <w:t>Holidaybreak PLC</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6" w:history="1">
                    <w:r w:rsidR="007B3369">
                      <w:rPr>
                        <w:rStyle w:val="Hyperlink"/>
                        <w:rFonts w:ascii="Arial" w:hAnsi="Arial" w:cs="Arial"/>
                        <w:color w:val="1A5488"/>
                        <w:sz w:val="14"/>
                        <w:szCs w:val="14"/>
                      </w:rPr>
                      <w:t>HBR.L</w:t>
                    </w:r>
                  </w:hyperlink>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297.00</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2" name="Picture 2"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
                                <pic:cNvPicPr>
                                  <a:picLocks noChangeAspect="1" noChangeArrowheads="1"/>
                                </pic:cNvPicPr>
                              </pic:nvPicPr>
                              <pic:blipFill>
                                <a:blip r:embed="rId24"/>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1.00%</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N/A</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N/A</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7" w:history="1">
                    <w:r w:rsidR="007B3369">
                      <w:rPr>
                        <w:rStyle w:val="Hyperlink"/>
                        <w:rFonts w:ascii="Arial" w:hAnsi="Arial" w:cs="Arial"/>
                        <w:color w:val="1A5488"/>
                        <w:sz w:val="14"/>
                        <w:szCs w:val="14"/>
                      </w:rPr>
                      <w:t>Western Union Co.</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28" w:history="1">
                    <w:r w:rsidR="007B3369">
                      <w:rPr>
                        <w:rStyle w:val="Hyperlink"/>
                        <w:rFonts w:ascii="Arial" w:hAnsi="Arial" w:cs="Arial"/>
                        <w:color w:val="1A5488"/>
                        <w:sz w:val="14"/>
                        <w:szCs w:val="14"/>
                      </w:rPr>
                      <w:t>WU</w:t>
                    </w:r>
                  </w:hyperlink>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18.25</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3" name="Picture 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
                                <pic:cNvPicPr>
                                  <a:picLocks noChangeAspect="1" noChangeArrowheads="1"/>
                                </pic:cNvPicPr>
                              </pic:nvPicPr>
                              <pic:blipFill>
                                <a:blip r:embed="rId29"/>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0.11%</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11.97B</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13.88</w:t>
                  </w:r>
                </w:p>
              </w:tc>
            </w:tr>
            <w:tr w:rsidR="007B3369" w:rsidTr="008D4DFA">
              <w:trPr>
                <w:tblCellSpacing w:w="7" w:type="dxa"/>
              </w:trPr>
              <w:tc>
                <w:tcPr>
                  <w:tcW w:w="0" w:type="auto"/>
                  <w:shd w:val="clear" w:color="auto" w:fill="FFFFEE"/>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0" w:history="1">
                    <w:r w:rsidR="007B3369">
                      <w:rPr>
                        <w:rStyle w:val="Hyperlink"/>
                        <w:rFonts w:ascii="Arial" w:hAnsi="Arial" w:cs="Arial"/>
                        <w:color w:val="1A5488"/>
                        <w:sz w:val="14"/>
                        <w:szCs w:val="14"/>
                      </w:rPr>
                      <w:t>H&amp;R Block, Inc.</w:t>
                    </w:r>
                  </w:hyperlink>
                </w:p>
              </w:tc>
              <w:tc>
                <w:tcPr>
                  <w:tcW w:w="0" w:type="auto"/>
                  <w:shd w:val="clear" w:color="auto" w:fill="FFFFEE"/>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1" w:history="1">
                    <w:r w:rsidR="007B3369">
                      <w:rPr>
                        <w:rStyle w:val="Hyperlink"/>
                        <w:rFonts w:ascii="Arial" w:hAnsi="Arial" w:cs="Arial"/>
                        <w:color w:val="1A5488"/>
                        <w:sz w:val="14"/>
                        <w:szCs w:val="14"/>
                      </w:rPr>
                      <w:t>HRB</w:t>
                    </w:r>
                  </w:hyperlink>
                </w:p>
              </w:tc>
              <w:tc>
                <w:tcPr>
                  <w:tcW w:w="0" w:type="auto"/>
                  <w:shd w:val="clear" w:color="auto" w:fill="FFFFEE"/>
                  <w:tcMar>
                    <w:top w:w="36" w:type="dxa"/>
                    <w:left w:w="96" w:type="dxa"/>
                    <w:bottom w:w="36" w:type="dxa"/>
                    <w:right w:w="96" w:type="dxa"/>
                  </w:tcMar>
                  <w:vAlign w:val="center"/>
                  <w:hideMark/>
                </w:tcPr>
                <w:p w:rsidR="007B3369" w:rsidRDefault="007B3369" w:rsidP="00A30E99">
                  <w:pPr>
                    <w:pStyle w:val="NoSpacing"/>
                  </w:pPr>
                  <w:r>
                    <w:t>13.16</w:t>
                  </w:r>
                </w:p>
              </w:tc>
              <w:tc>
                <w:tcPr>
                  <w:tcW w:w="0" w:type="auto"/>
                  <w:shd w:val="clear" w:color="auto" w:fill="FFFFEE"/>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4" name="Picture 4"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
                                <pic:cNvPicPr>
                                  <a:picLocks noChangeAspect="1" noChangeArrowheads="1"/>
                                </pic:cNvPicPr>
                              </pic:nvPicPr>
                              <pic:blipFill>
                                <a:blip r:embed="rId24"/>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1.57%</w:t>
                  </w:r>
                </w:p>
              </w:tc>
              <w:tc>
                <w:tcPr>
                  <w:tcW w:w="0" w:type="auto"/>
                  <w:shd w:val="clear" w:color="auto" w:fill="FFFFEE"/>
                  <w:tcMar>
                    <w:top w:w="36" w:type="dxa"/>
                    <w:left w:w="96" w:type="dxa"/>
                    <w:bottom w:w="36" w:type="dxa"/>
                    <w:right w:w="96" w:type="dxa"/>
                  </w:tcMar>
                  <w:vAlign w:val="center"/>
                  <w:hideMark/>
                </w:tcPr>
                <w:p w:rsidR="007B3369" w:rsidRDefault="007B3369" w:rsidP="00A30E99">
                  <w:pPr>
                    <w:pStyle w:val="NoSpacing"/>
                  </w:pPr>
                  <w:r>
                    <w:t>4.06B</w:t>
                  </w:r>
                </w:p>
              </w:tc>
              <w:tc>
                <w:tcPr>
                  <w:tcW w:w="0" w:type="auto"/>
                  <w:shd w:val="clear" w:color="auto" w:fill="FFFFEE"/>
                  <w:tcMar>
                    <w:top w:w="36" w:type="dxa"/>
                    <w:left w:w="96" w:type="dxa"/>
                    <w:bottom w:w="36" w:type="dxa"/>
                    <w:right w:w="96" w:type="dxa"/>
                  </w:tcMar>
                  <w:vAlign w:val="center"/>
                  <w:hideMark/>
                </w:tcPr>
                <w:p w:rsidR="007B3369" w:rsidRDefault="007B3369" w:rsidP="00A30E99">
                  <w:pPr>
                    <w:pStyle w:val="NoSpacing"/>
                  </w:pPr>
                  <w:r>
                    <w:t>9.02</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2" w:history="1">
                    <w:r w:rsidR="007B3369">
                      <w:rPr>
                        <w:rStyle w:val="Hyperlink"/>
                        <w:rFonts w:ascii="Arial" w:hAnsi="Arial" w:cs="Arial"/>
                        <w:color w:val="1A5488"/>
                        <w:sz w:val="14"/>
                        <w:szCs w:val="14"/>
                      </w:rPr>
                      <w:t>Weight Watchers International, Inc.</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3" w:history="1">
                    <w:r w:rsidR="007B3369">
                      <w:rPr>
                        <w:rStyle w:val="Hyperlink"/>
                        <w:rFonts w:ascii="Arial" w:hAnsi="Arial" w:cs="Arial"/>
                        <w:color w:val="1A5488"/>
                        <w:sz w:val="14"/>
                        <w:szCs w:val="14"/>
                      </w:rPr>
                      <w:t>WTW</w:t>
                    </w:r>
                  </w:hyperlink>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35.49</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5" name="Picture 5"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
                                <pic:cNvPicPr>
                                  <a:picLocks noChangeAspect="1" noChangeArrowheads="1"/>
                                </pic:cNvPicPr>
                              </pic:nvPicPr>
                              <pic:blipFill>
                                <a:blip r:embed="rId24"/>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0.14%</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2.61B</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16.58</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4" w:history="1">
                    <w:r w:rsidR="007B3369">
                      <w:rPr>
                        <w:rStyle w:val="Hyperlink"/>
                        <w:rFonts w:ascii="Arial" w:hAnsi="Arial" w:cs="Arial"/>
                        <w:color w:val="1A5488"/>
                        <w:sz w:val="14"/>
                        <w:szCs w:val="14"/>
                      </w:rPr>
                      <w:t>Ulta Salon, Cosmetics &amp; Fragrance, Inc.</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35" w:history="1">
                    <w:r w:rsidR="007B3369">
                      <w:rPr>
                        <w:rStyle w:val="Hyperlink"/>
                        <w:rFonts w:ascii="Arial" w:hAnsi="Arial" w:cs="Arial"/>
                        <w:color w:val="1A5488"/>
                        <w:sz w:val="14"/>
                        <w:szCs w:val="14"/>
                      </w:rPr>
                      <w:t>ULTA</w:t>
                    </w:r>
                  </w:hyperlink>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35.22</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rPr>
                      <w:noProof/>
                    </w:rPr>
                    <w:drawing>
                      <wp:inline distT="0" distB="0" distL="0" distR="0">
                        <wp:extent cx="99060" cy="137160"/>
                        <wp:effectExtent l="19050" t="0" r="0" b="0"/>
                        <wp:docPr id="6" name="Picture 6"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
                                <pic:cNvPicPr>
                                  <a:picLocks noChangeAspect="1" noChangeArrowheads="1"/>
                                </pic:cNvPicPr>
                              </pic:nvPicPr>
                              <pic:blipFill>
                                <a:blip r:embed="rId24"/>
                                <a:srcRect/>
                                <a:stretch>
                                  <a:fillRect/>
                                </a:stretch>
                              </pic:blipFill>
                              <pic:spPr bwMode="auto">
                                <a:xfrm>
                                  <a:off x="0" y="0"/>
                                  <a:ext cx="99060" cy="137160"/>
                                </a:xfrm>
                                <a:prstGeom prst="rect">
                                  <a:avLst/>
                                </a:prstGeom>
                                <a:noFill/>
                                <a:ln w="9525">
                                  <a:noFill/>
                                  <a:miter lim="800000"/>
                                  <a:headEnd/>
                                  <a:tailEnd/>
                                </a:ln>
                              </pic:spPr>
                            </pic:pic>
                          </a:graphicData>
                        </a:graphic>
                      </wp:inline>
                    </w:drawing>
                  </w:r>
                  <w:r>
                    <w:rPr>
                      <w:rStyle w:val="apple-converted-space"/>
                      <w:rFonts w:ascii="Arial" w:hAnsi="Arial" w:cs="Arial"/>
                      <w:sz w:val="14"/>
                      <w:szCs w:val="14"/>
                    </w:rPr>
                    <w:t> </w:t>
                  </w:r>
                  <w:r>
                    <w:t>1.40%</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2.08B</w:t>
                  </w:r>
                </w:p>
              </w:tc>
              <w:tc>
                <w:tcPr>
                  <w:tcW w:w="0" w:type="auto"/>
                  <w:shd w:val="clear" w:color="auto" w:fill="FFFFFF"/>
                  <w:tcMar>
                    <w:top w:w="36" w:type="dxa"/>
                    <w:left w:w="96" w:type="dxa"/>
                    <w:bottom w:w="36" w:type="dxa"/>
                    <w:right w:w="96" w:type="dxa"/>
                  </w:tcMar>
                  <w:vAlign w:val="center"/>
                  <w:hideMark/>
                </w:tcPr>
                <w:p w:rsidR="007B3369" w:rsidRDefault="007B3369" w:rsidP="00A30E99">
                  <w:pPr>
                    <w:pStyle w:val="NoSpacing"/>
                  </w:pPr>
                  <w:r>
                    <w:t>38.16</w:t>
                  </w:r>
                </w:p>
              </w:tc>
            </w:tr>
          </w:tbl>
          <w:p w:rsidR="007B3369" w:rsidRDefault="007B3369" w:rsidP="00A30E99">
            <w:pPr>
              <w:pStyle w:val="NoSpacing"/>
              <w:rPr>
                <w:rFonts w:ascii="Arial" w:hAnsi="Arial" w:cs="Arial"/>
                <w:sz w:val="14"/>
                <w:szCs w:val="14"/>
              </w:rPr>
            </w:pPr>
          </w:p>
        </w:tc>
      </w:tr>
    </w:tbl>
    <w:p w:rsidR="007B3369" w:rsidRDefault="007B3369" w:rsidP="00A30E99">
      <w:pPr>
        <w:pStyle w:val="NoSpacing"/>
        <w:rPr>
          <w:rStyle w:val="apple-style-span"/>
          <w:rFonts w:ascii="Arial" w:hAnsi="Arial" w:cs="Arial"/>
          <w:vanish/>
          <w:color w:val="000000"/>
          <w:sz w:val="14"/>
          <w:szCs w:val="1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B3369" w:rsidTr="008D4DFA">
        <w:trPr>
          <w:tblCellSpacing w:w="0" w:type="dxa"/>
        </w:trPr>
        <w:tc>
          <w:tcPr>
            <w:tcW w:w="0" w:type="auto"/>
            <w:tcMar>
              <w:top w:w="60" w:type="dxa"/>
              <w:left w:w="0" w:type="dxa"/>
              <w:bottom w:w="0" w:type="dxa"/>
              <w:right w:w="0" w:type="dxa"/>
            </w:tcMar>
            <w:vAlign w:val="center"/>
            <w:hideMark/>
          </w:tcPr>
          <w:p w:rsidR="007B3369" w:rsidRDefault="007B3369" w:rsidP="00A30E99">
            <w:pPr>
              <w:pStyle w:val="NoSpacing"/>
              <w:rPr>
                <w:rFonts w:ascii="Arial" w:hAnsi="Arial" w:cs="Arial"/>
                <w:sz w:val="14"/>
                <w:szCs w:val="14"/>
              </w:rPr>
            </w:pPr>
            <w:r>
              <w:rPr>
                <w:rFonts w:ascii="Arial" w:hAnsi="Arial" w:cs="Arial"/>
                <w:sz w:val="14"/>
                <w:szCs w:val="14"/>
              </w:rPr>
              <w:t>Showing 1 - 5 of 41 -</w:t>
            </w:r>
            <w:r>
              <w:rPr>
                <w:rStyle w:val="apple-converted-space"/>
                <w:rFonts w:ascii="Arial" w:hAnsi="Arial" w:cs="Arial"/>
                <w:sz w:val="14"/>
                <w:szCs w:val="14"/>
              </w:rPr>
              <w:t> </w:t>
            </w:r>
            <w:hyperlink r:id="rId36" w:history="1">
              <w:r>
                <w:rPr>
                  <w:rStyle w:val="Hyperlink"/>
                  <w:rFonts w:ascii="Arial" w:hAnsi="Arial" w:cs="Arial"/>
                  <w:color w:val="1A5488"/>
                  <w:sz w:val="14"/>
                  <w:szCs w:val="14"/>
                </w:rPr>
                <w:t>View All</w:t>
              </w:r>
            </w:hyperlink>
          </w:p>
        </w:tc>
      </w:tr>
    </w:tbl>
    <w:p w:rsidR="007B3369" w:rsidRDefault="007B3369" w:rsidP="00A30E99">
      <w:pPr>
        <w:pStyle w:val="NoSpacing"/>
        <w:rPr>
          <w:rStyle w:val="apple-style-span"/>
          <w:rFonts w:ascii="Arial" w:hAnsi="Arial" w:cs="Arial"/>
          <w:vanish/>
          <w:color w:val="000000"/>
          <w:sz w:val="14"/>
          <w:szCs w:val="14"/>
        </w:rPr>
      </w:pPr>
    </w:p>
    <w:tbl>
      <w:tblPr>
        <w:tblW w:w="0" w:type="auto"/>
        <w:tblCellSpacing w:w="0" w:type="dxa"/>
        <w:tblCellMar>
          <w:left w:w="0" w:type="dxa"/>
          <w:right w:w="0" w:type="dxa"/>
        </w:tblCellMar>
        <w:tblLook w:val="04A0" w:firstRow="1" w:lastRow="0" w:firstColumn="1" w:lastColumn="0" w:noHBand="0" w:noVBand="1"/>
      </w:tblPr>
      <w:tblGrid>
        <w:gridCol w:w="2290"/>
        <w:gridCol w:w="2290"/>
      </w:tblGrid>
      <w:tr w:rsidR="007B3369" w:rsidTr="008D4DFA">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7B3369" w:rsidTr="008D4DFA">
              <w:trPr>
                <w:trHeight w:val="15"/>
                <w:tblCellSpacing w:w="0" w:type="dxa"/>
              </w:trPr>
              <w:tc>
                <w:tcPr>
                  <w:tcW w:w="0" w:type="auto"/>
                  <w:noWrap/>
                  <w:vAlign w:val="center"/>
                  <w:hideMark/>
                </w:tcPr>
                <w:p w:rsidR="007B3369" w:rsidRDefault="007B3369" w:rsidP="00A30E99">
                  <w:pPr>
                    <w:pStyle w:val="NoSpacing"/>
                    <w:rPr>
                      <w:rFonts w:ascii="Arial" w:hAnsi="Arial" w:cs="Arial"/>
                      <w:sz w:val="2"/>
                      <w:szCs w:val="14"/>
                    </w:rPr>
                  </w:pPr>
                </w:p>
              </w:tc>
            </w:tr>
          </w:tbl>
          <w:p w:rsidR="007B3369" w:rsidRDefault="007B3369" w:rsidP="00A30E99">
            <w:pPr>
              <w:pStyle w:val="NoSpacing"/>
              <w:rPr>
                <w:rFonts w:ascii="Arial" w:hAnsi="Arial" w:cs="Arial"/>
                <w:sz w:val="14"/>
                <w:szCs w:val="14"/>
              </w:rPr>
            </w:pPr>
          </w:p>
        </w:tc>
      </w:tr>
      <w:tr w:rsidR="007B3369" w:rsidTr="008D4DFA">
        <w:trPr>
          <w:trHeight w:val="150"/>
          <w:tblCellSpacing w:w="0" w:type="dxa"/>
        </w:trPr>
        <w:tc>
          <w:tcPr>
            <w:tcW w:w="0" w:type="auto"/>
            <w:noWrap/>
            <w:vAlign w:val="center"/>
            <w:hideMark/>
          </w:tcPr>
          <w:p w:rsidR="007B3369" w:rsidRDefault="007B3369" w:rsidP="00A30E99">
            <w:pPr>
              <w:pStyle w:val="NoSpacing"/>
              <w:rPr>
                <w:rFonts w:ascii="Arial" w:hAnsi="Arial" w:cs="Arial"/>
                <w:sz w:val="14"/>
                <w:szCs w:val="14"/>
              </w:rPr>
            </w:pPr>
          </w:p>
        </w:tc>
        <w:tc>
          <w:tcPr>
            <w:tcW w:w="0" w:type="auto"/>
            <w:vAlign w:val="center"/>
            <w:hideMark/>
          </w:tcPr>
          <w:p w:rsidR="007B3369" w:rsidRDefault="007B3369" w:rsidP="00A30E99">
            <w:pPr>
              <w:pStyle w:val="NoSpacing"/>
              <w:rPr>
                <w:sz w:val="20"/>
                <w:szCs w:val="20"/>
              </w:rPr>
            </w:pPr>
          </w:p>
        </w:tc>
      </w:tr>
      <w:tr w:rsidR="007B3369" w:rsidTr="008D4DFA">
        <w:trPr>
          <w:tblCellSpacing w:w="0" w:type="dxa"/>
        </w:trPr>
        <w:tc>
          <w:tcPr>
            <w:tcW w:w="0" w:type="auto"/>
            <w:gridSpan w:val="2"/>
            <w:vAlign w:val="center"/>
            <w:hideMark/>
          </w:tcPr>
          <w:p w:rsidR="007B3369" w:rsidRDefault="007B3369" w:rsidP="00A30E99">
            <w:pPr>
              <w:pStyle w:val="NoSpacing"/>
              <w:rPr>
                <w:rFonts w:ascii="Arial" w:hAnsi="Arial" w:cs="Arial"/>
                <w:sz w:val="13"/>
                <w:szCs w:val="13"/>
              </w:rPr>
            </w:pPr>
            <w:r>
              <w:rPr>
                <w:rFonts w:ascii="Arial" w:hAnsi="Arial" w:cs="Arial"/>
                <w:sz w:val="13"/>
                <w:szCs w:val="13"/>
              </w:rPr>
              <w:t>More Top Companies: </w:t>
            </w:r>
            <w:hyperlink r:id="rId37" w:history="1">
              <w:r>
                <w:rPr>
                  <w:rStyle w:val="Strong"/>
                  <w:rFonts w:ascii="Arial" w:hAnsi="Arial" w:cs="Arial"/>
                  <w:color w:val="1A5488"/>
                  <w:sz w:val="13"/>
                  <w:szCs w:val="13"/>
                </w:rPr>
                <w:t>by Performance</w:t>
              </w:r>
            </w:hyperlink>
            <w:r>
              <w:rPr>
                <w:rFonts w:ascii="Arial" w:hAnsi="Arial" w:cs="Arial"/>
                <w:sz w:val="13"/>
                <w:szCs w:val="13"/>
              </w:rPr>
              <w:t>, </w:t>
            </w:r>
            <w:hyperlink r:id="rId38" w:history="1">
              <w:r>
                <w:rPr>
                  <w:rStyle w:val="Strong"/>
                  <w:rFonts w:ascii="Arial" w:hAnsi="Arial" w:cs="Arial"/>
                  <w:color w:val="1A5488"/>
                  <w:sz w:val="13"/>
                  <w:szCs w:val="13"/>
                </w:rPr>
                <w:t>by Valuation</w:t>
              </w:r>
            </w:hyperlink>
            <w:r>
              <w:rPr>
                <w:rFonts w:ascii="Arial" w:hAnsi="Arial" w:cs="Arial"/>
                <w:sz w:val="13"/>
                <w:szCs w:val="13"/>
              </w:rPr>
              <w:t>, </w:t>
            </w:r>
            <w:hyperlink r:id="rId39" w:history="1">
              <w:r>
                <w:rPr>
                  <w:rStyle w:val="Strong"/>
                  <w:rFonts w:ascii="Arial" w:hAnsi="Arial" w:cs="Arial"/>
                  <w:color w:val="1A5488"/>
                  <w:sz w:val="13"/>
                  <w:szCs w:val="13"/>
                </w:rPr>
                <w:t>by Growth</w:t>
              </w:r>
            </w:hyperlink>
            <w:r>
              <w:rPr>
                <w:rFonts w:ascii="Arial" w:hAnsi="Arial" w:cs="Arial"/>
                <w:sz w:val="13"/>
                <w:szCs w:val="13"/>
              </w:rPr>
              <w:t>, </w:t>
            </w:r>
            <w:hyperlink r:id="rId40" w:history="1">
              <w:r>
                <w:rPr>
                  <w:rStyle w:val="Strong"/>
                  <w:rFonts w:ascii="Arial" w:hAnsi="Arial" w:cs="Arial"/>
                  <w:color w:val="1A5488"/>
                  <w:sz w:val="13"/>
                  <w:szCs w:val="13"/>
                </w:rPr>
                <w:t>by Growth</w:t>
              </w:r>
            </w:hyperlink>
          </w:p>
        </w:tc>
      </w:tr>
      <w:tr w:rsidR="007B3369" w:rsidTr="008D4DFA">
        <w:trPr>
          <w:trHeight w:val="300"/>
          <w:tblCellSpacing w:w="0" w:type="dxa"/>
        </w:trPr>
        <w:tc>
          <w:tcPr>
            <w:tcW w:w="0" w:type="auto"/>
            <w:noWrap/>
            <w:vAlign w:val="center"/>
            <w:hideMark/>
          </w:tcPr>
          <w:p w:rsidR="007B3369" w:rsidRDefault="007B3369" w:rsidP="00A30E99">
            <w:pPr>
              <w:pStyle w:val="NoSpacing"/>
              <w:rPr>
                <w:rFonts w:ascii="Arial" w:hAnsi="Arial" w:cs="Arial"/>
                <w:sz w:val="14"/>
                <w:szCs w:val="14"/>
              </w:rPr>
            </w:pPr>
          </w:p>
        </w:tc>
        <w:tc>
          <w:tcPr>
            <w:tcW w:w="0" w:type="auto"/>
            <w:vAlign w:val="center"/>
            <w:hideMark/>
          </w:tcPr>
          <w:p w:rsidR="007B3369" w:rsidRDefault="007B3369" w:rsidP="00A30E99">
            <w:pPr>
              <w:pStyle w:val="NoSpacing"/>
              <w:rPr>
                <w:sz w:val="20"/>
                <w:szCs w:val="20"/>
              </w:rPr>
            </w:pPr>
          </w:p>
        </w:tc>
      </w:tr>
    </w:tbl>
    <w:p w:rsidR="007B3369" w:rsidRDefault="007B3369" w:rsidP="00A30E99">
      <w:pPr>
        <w:pStyle w:val="NoSpacing"/>
        <w:rPr>
          <w:rStyle w:val="apple-style-span"/>
          <w:rFonts w:ascii="Arial" w:hAnsi="Arial" w:cs="Arial"/>
          <w:vanish/>
          <w:color w:val="000000"/>
          <w:sz w:val="14"/>
          <w:szCs w:val="14"/>
        </w:rPr>
      </w:pPr>
    </w:p>
    <w:tbl>
      <w:tblPr>
        <w:tblW w:w="5000" w:type="pct"/>
        <w:tblCellSpacing w:w="0" w:type="dxa"/>
        <w:tblBorders>
          <w:top w:val="single" w:sz="4" w:space="0" w:color="A1A1A1"/>
          <w:left w:val="single" w:sz="4" w:space="0" w:color="A1A1A1"/>
          <w:right w:val="single" w:sz="4" w:space="0" w:color="A1A1A1"/>
        </w:tblBorders>
        <w:shd w:val="clear" w:color="auto" w:fill="EDF2F5"/>
        <w:tblCellMar>
          <w:top w:w="60" w:type="dxa"/>
          <w:left w:w="72" w:type="dxa"/>
          <w:bottom w:w="60" w:type="dxa"/>
          <w:right w:w="30" w:type="dxa"/>
        </w:tblCellMar>
        <w:tblLook w:val="04A0" w:firstRow="1" w:lastRow="0" w:firstColumn="1" w:lastColumn="0" w:noHBand="0" w:noVBand="1"/>
      </w:tblPr>
      <w:tblGrid>
        <w:gridCol w:w="9482"/>
      </w:tblGrid>
      <w:tr w:rsidR="007B3369" w:rsidTr="008D4DFA">
        <w:trPr>
          <w:tblCellSpacing w:w="0" w:type="dxa"/>
        </w:trPr>
        <w:tc>
          <w:tcPr>
            <w:tcW w:w="0" w:type="auto"/>
            <w:shd w:val="clear" w:color="auto" w:fill="EDF2F5"/>
            <w:hideMark/>
          </w:tcPr>
          <w:p w:rsidR="007B3369" w:rsidRDefault="007B3369" w:rsidP="00A30E99">
            <w:pPr>
              <w:pStyle w:val="NoSpacing"/>
            </w:pPr>
            <w:r>
              <w:rPr>
                <w:rStyle w:val="Strong"/>
                <w:rFonts w:ascii="Arial" w:hAnsi="Arial" w:cs="Arial"/>
                <w:sz w:val="14"/>
                <w:szCs w:val="14"/>
              </w:rPr>
              <w:t>HRB vs. Industry Leaders</w:t>
            </w:r>
          </w:p>
        </w:tc>
      </w:tr>
    </w:tbl>
    <w:p w:rsidR="007B3369" w:rsidRDefault="007B3369" w:rsidP="00A30E99">
      <w:pPr>
        <w:pStyle w:val="NoSpacing"/>
        <w:rPr>
          <w:rStyle w:val="apple-style-span"/>
          <w:rFonts w:ascii="Arial" w:hAnsi="Arial" w:cs="Arial"/>
          <w:vanish/>
          <w:color w:val="000000"/>
          <w:sz w:val="14"/>
          <w:szCs w:val="14"/>
        </w:rPr>
      </w:pPr>
    </w:p>
    <w:tbl>
      <w:tblPr>
        <w:tblW w:w="5000" w:type="pct"/>
        <w:tblCellSpacing w:w="0" w:type="dxa"/>
        <w:shd w:val="clear" w:color="auto" w:fill="A1A1A1"/>
        <w:tblCellMar>
          <w:left w:w="0" w:type="dxa"/>
          <w:right w:w="0" w:type="dxa"/>
        </w:tblCellMar>
        <w:tblLook w:val="04A0" w:firstRow="1" w:lastRow="0" w:firstColumn="1" w:lastColumn="0" w:noHBand="0" w:noVBand="1"/>
      </w:tblPr>
      <w:tblGrid>
        <w:gridCol w:w="9360"/>
      </w:tblGrid>
      <w:tr w:rsidR="007B3369" w:rsidTr="008D4DFA">
        <w:trPr>
          <w:tblCellSpacing w:w="0" w:type="dxa"/>
        </w:trPr>
        <w:tc>
          <w:tcPr>
            <w:tcW w:w="0" w:type="auto"/>
            <w:shd w:val="clear" w:color="auto" w:fill="A1A1A1"/>
            <w:vAlign w:val="center"/>
            <w:hideMark/>
          </w:tcPr>
          <w:tbl>
            <w:tblPr>
              <w:tblW w:w="5000" w:type="pct"/>
              <w:tblCellSpacing w:w="7" w:type="dxa"/>
              <w:tblCellMar>
                <w:top w:w="45" w:type="dxa"/>
                <w:left w:w="45" w:type="dxa"/>
                <w:bottom w:w="45" w:type="dxa"/>
                <w:right w:w="45" w:type="dxa"/>
              </w:tblCellMar>
              <w:tblLook w:val="04A0" w:firstRow="1" w:lastRow="0" w:firstColumn="1" w:lastColumn="0" w:noHBand="0" w:noVBand="1"/>
            </w:tblPr>
            <w:tblGrid>
              <w:gridCol w:w="5025"/>
              <w:gridCol w:w="1132"/>
              <w:gridCol w:w="1047"/>
              <w:gridCol w:w="997"/>
              <w:gridCol w:w="1159"/>
            </w:tblGrid>
            <w:tr w:rsidR="007B3369" w:rsidTr="008D4DFA">
              <w:trPr>
                <w:tblCellSpacing w:w="7" w:type="dxa"/>
              </w:trPr>
              <w:tc>
                <w:tcPr>
                  <w:tcW w:w="5000" w:type="pct"/>
                  <w:shd w:val="clear" w:color="auto" w:fill="EEEEEE"/>
                  <w:noWrap/>
                  <w:tcMar>
                    <w:top w:w="36" w:type="dxa"/>
                    <w:left w:w="96" w:type="dxa"/>
                    <w:bottom w:w="36" w:type="dxa"/>
                    <w:right w:w="96" w:type="dxa"/>
                  </w:tcMar>
                  <w:vAlign w:val="center"/>
                  <w:hideMark/>
                </w:tcPr>
                <w:p w:rsidR="007B3369" w:rsidRDefault="007B3369" w:rsidP="00A30E99">
                  <w:pPr>
                    <w:pStyle w:val="NoSpacing"/>
                  </w:pPr>
                  <w:r>
                    <w:t>Statistic</w:t>
                  </w:r>
                </w:p>
              </w:tc>
              <w:tc>
                <w:tcPr>
                  <w:tcW w:w="0" w:type="auto"/>
                  <w:gridSpan w:val="2"/>
                  <w:shd w:val="clear" w:color="auto" w:fill="EEEEEE"/>
                  <w:noWrap/>
                  <w:tcMar>
                    <w:top w:w="36" w:type="dxa"/>
                    <w:left w:w="96" w:type="dxa"/>
                    <w:bottom w:w="36" w:type="dxa"/>
                    <w:right w:w="96" w:type="dxa"/>
                  </w:tcMar>
                  <w:vAlign w:val="center"/>
                  <w:hideMark/>
                </w:tcPr>
                <w:p w:rsidR="007B3369" w:rsidRDefault="007B3369" w:rsidP="00A30E99">
                  <w:pPr>
                    <w:pStyle w:val="NoSpacing"/>
                  </w:pPr>
                  <w:r>
                    <w:t>Industry Leader</w:t>
                  </w:r>
                </w:p>
              </w:tc>
              <w:tc>
                <w:tcPr>
                  <w:tcW w:w="0" w:type="auto"/>
                  <w:shd w:val="clear" w:color="auto" w:fill="EEEEEE"/>
                  <w:noWrap/>
                  <w:tcMar>
                    <w:top w:w="36" w:type="dxa"/>
                    <w:left w:w="96" w:type="dxa"/>
                    <w:bottom w:w="36" w:type="dxa"/>
                    <w:right w:w="96" w:type="dxa"/>
                  </w:tcMar>
                  <w:vAlign w:val="center"/>
                  <w:hideMark/>
                </w:tcPr>
                <w:p w:rsidR="007B3369" w:rsidRDefault="007B3369" w:rsidP="00A30E99">
                  <w:pPr>
                    <w:pStyle w:val="NoSpacing"/>
                  </w:pPr>
                  <w:r>
                    <w:t>HRB</w:t>
                  </w:r>
                </w:p>
              </w:tc>
              <w:tc>
                <w:tcPr>
                  <w:tcW w:w="0" w:type="auto"/>
                  <w:shd w:val="clear" w:color="auto" w:fill="EEEEEE"/>
                  <w:noWrap/>
                  <w:tcMar>
                    <w:top w:w="36" w:type="dxa"/>
                    <w:left w:w="96" w:type="dxa"/>
                    <w:bottom w:w="36" w:type="dxa"/>
                    <w:right w:w="96" w:type="dxa"/>
                  </w:tcMar>
                  <w:vAlign w:val="center"/>
                  <w:hideMark/>
                </w:tcPr>
                <w:p w:rsidR="007B3369" w:rsidRDefault="007B3369" w:rsidP="00A30E99">
                  <w:pPr>
                    <w:pStyle w:val="NoSpacing"/>
                  </w:pPr>
                  <w:r>
                    <w:t>HRB Rank</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1" w:history="1">
                    <w:r w:rsidR="007B3369">
                      <w:rPr>
                        <w:rStyle w:val="Hyperlink"/>
                        <w:rFonts w:ascii="Arial" w:hAnsi="Arial" w:cs="Arial"/>
                        <w:color w:val="1A5488"/>
                        <w:sz w:val="14"/>
                        <w:szCs w:val="14"/>
                      </w:rPr>
                      <w:t>Market Capitalization</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2" w:history="1">
                    <w:r w:rsidR="007B3369">
                      <w:rPr>
                        <w:rStyle w:val="Hyperlink"/>
                        <w:rFonts w:ascii="Arial" w:hAnsi="Arial" w:cs="Arial"/>
                        <w:color w:val="1A5488"/>
                        <w:sz w:val="14"/>
                        <w:szCs w:val="14"/>
                      </w:rPr>
                      <w:t>CPP.L</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N/A</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4.06B</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4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3" w:history="1">
                    <w:r w:rsidR="007B3369">
                      <w:rPr>
                        <w:rStyle w:val="Hyperlink"/>
                        <w:rFonts w:ascii="Arial" w:hAnsi="Arial" w:cs="Arial"/>
                        <w:color w:val="1A5488"/>
                        <w:sz w:val="14"/>
                        <w:szCs w:val="14"/>
                      </w:rPr>
                      <w:t>P/E Ratio (ttm)</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4" w:history="1">
                    <w:r w:rsidR="007B3369">
                      <w:rPr>
                        <w:rStyle w:val="Hyperlink"/>
                        <w:rFonts w:ascii="Arial" w:hAnsi="Arial" w:cs="Arial"/>
                        <w:color w:val="1A5488"/>
                        <w:sz w:val="14"/>
                        <w:szCs w:val="14"/>
                      </w:rPr>
                      <w:t>HBR.L</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N/A</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9.02</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22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5" w:history="1">
                    <w:r w:rsidR="007B3369">
                      <w:rPr>
                        <w:rStyle w:val="Hyperlink"/>
                        <w:rFonts w:ascii="Arial" w:hAnsi="Arial" w:cs="Arial"/>
                        <w:color w:val="1A5488"/>
                        <w:sz w:val="14"/>
                        <w:szCs w:val="14"/>
                      </w:rPr>
                      <w:t>PEG Ratio (ttm, 5 yr expected)</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6" w:history="1">
                    <w:r w:rsidR="007B3369">
                      <w:rPr>
                        <w:rStyle w:val="Hyperlink"/>
                        <w:rFonts w:ascii="Arial" w:hAnsi="Arial" w:cs="Arial"/>
                        <w:color w:val="1A5488"/>
                        <w:sz w:val="14"/>
                        <w:szCs w:val="14"/>
                      </w:rPr>
                      <w:t>IVC.AX</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3.54</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0.84</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14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7" w:history="1">
                    <w:r w:rsidR="007B3369">
                      <w:rPr>
                        <w:rStyle w:val="Hyperlink"/>
                        <w:rFonts w:ascii="Arial" w:hAnsi="Arial" w:cs="Arial"/>
                        <w:color w:val="1A5488"/>
                        <w:sz w:val="14"/>
                        <w:szCs w:val="14"/>
                      </w:rPr>
                      <w:t>Revenue Growth (Qtrly YoY)</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8" w:history="1">
                    <w:r w:rsidR="007B3369">
                      <w:rPr>
                        <w:rStyle w:val="Hyperlink"/>
                        <w:rFonts w:ascii="Arial" w:hAnsi="Arial" w:cs="Arial"/>
                        <w:color w:val="1A5488"/>
                        <w:sz w:val="14"/>
                        <w:szCs w:val="14"/>
                      </w:rPr>
                      <w:t>JAINSTUD.BO</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130.50%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-0.40%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24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49" w:history="1">
                    <w:r w:rsidR="007B3369">
                      <w:rPr>
                        <w:rStyle w:val="Hyperlink"/>
                        <w:rFonts w:ascii="Arial" w:hAnsi="Arial" w:cs="Arial"/>
                        <w:color w:val="1A5488"/>
                        <w:sz w:val="14"/>
                        <w:szCs w:val="14"/>
                      </w:rPr>
                      <w:t>EPS Growth (Qtrly YoY)</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0" w:history="1">
                    <w:r w:rsidR="007B3369">
                      <w:rPr>
                        <w:rStyle w:val="Hyperlink"/>
                        <w:rFonts w:ascii="Arial" w:hAnsi="Arial" w:cs="Arial"/>
                        <w:color w:val="1A5488"/>
                        <w:sz w:val="14"/>
                        <w:szCs w:val="14"/>
                      </w:rPr>
                      <w:t>GKSR</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173.50%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N/A</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N/A</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1" w:history="1">
                    <w:r w:rsidR="007B3369">
                      <w:rPr>
                        <w:rStyle w:val="Hyperlink"/>
                        <w:rFonts w:ascii="Arial" w:hAnsi="Arial" w:cs="Arial"/>
                        <w:color w:val="1A5488"/>
                        <w:sz w:val="14"/>
                        <w:szCs w:val="14"/>
                      </w:rPr>
                      <w:t>Long-Term Growth Rate (5 yr)</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2" w:history="1">
                    <w:r w:rsidR="007B3369">
                      <w:rPr>
                        <w:rStyle w:val="Hyperlink"/>
                        <w:rFonts w:ascii="Arial" w:hAnsi="Arial" w:cs="Arial"/>
                        <w:color w:val="1A5488"/>
                        <w:sz w:val="14"/>
                        <w:szCs w:val="14"/>
                      </w:rPr>
                      <w:t>ULTA</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22.17%</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10.00%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8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3" w:history="1">
                    <w:r w:rsidR="007B3369">
                      <w:rPr>
                        <w:rStyle w:val="Hyperlink"/>
                        <w:rFonts w:ascii="Arial" w:hAnsi="Arial" w:cs="Arial"/>
                        <w:color w:val="1A5488"/>
                        <w:sz w:val="14"/>
                        <w:szCs w:val="14"/>
                      </w:rPr>
                      <w:t>Return on Equity (ttm)</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4" w:history="1">
                    <w:r w:rsidR="007B3369">
                      <w:rPr>
                        <w:rStyle w:val="Hyperlink"/>
                        <w:rFonts w:ascii="Arial" w:hAnsi="Arial" w:cs="Arial"/>
                        <w:color w:val="1A5488"/>
                        <w:sz w:val="14"/>
                        <w:szCs w:val="14"/>
                      </w:rPr>
                      <w:t>CPY</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260.61%</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44.40%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5 / 41</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5" w:history="1">
                    <w:r w:rsidR="007B3369">
                      <w:rPr>
                        <w:rStyle w:val="Hyperlink"/>
                        <w:rFonts w:ascii="Arial" w:hAnsi="Arial" w:cs="Arial"/>
                        <w:color w:val="1A5488"/>
                        <w:sz w:val="14"/>
                        <w:szCs w:val="14"/>
                      </w:rPr>
                      <w:t>Long-Term Debt/Equity (mrq)</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rPr>
                      <w:rFonts w:ascii="Arial" w:hAnsi="Arial" w:cs="Arial"/>
                      <w:sz w:val="14"/>
                      <w:szCs w:val="14"/>
                    </w:rPr>
                  </w:pP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rPr>
                      <w:rFonts w:ascii="Arial" w:hAnsi="Arial" w:cs="Arial"/>
                      <w:sz w:val="14"/>
                      <w:szCs w:val="14"/>
                    </w:rPr>
                  </w:pP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109.177</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N/A</w:t>
                  </w:r>
                </w:p>
              </w:tc>
            </w:tr>
            <w:tr w:rsidR="007B3369" w:rsidTr="008D4DFA">
              <w:trPr>
                <w:tblCellSpacing w:w="7" w:type="dxa"/>
              </w:trPr>
              <w:tc>
                <w:tcPr>
                  <w:tcW w:w="0" w:type="auto"/>
                  <w:shd w:val="clear" w:color="auto" w:fill="FFFFFF"/>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6" w:history="1">
                    <w:r w:rsidR="007B3369">
                      <w:rPr>
                        <w:rStyle w:val="Hyperlink"/>
                        <w:rFonts w:ascii="Arial" w:hAnsi="Arial" w:cs="Arial"/>
                        <w:color w:val="1A5488"/>
                        <w:sz w:val="14"/>
                        <w:szCs w:val="14"/>
                      </w:rPr>
                      <w:t>Dividend Yield (annual)</w:t>
                    </w:r>
                  </w:hyperlink>
                </w:p>
              </w:tc>
              <w:tc>
                <w:tcPr>
                  <w:tcW w:w="0" w:type="auto"/>
                  <w:shd w:val="clear" w:color="auto" w:fill="FFFFFF"/>
                  <w:noWrap/>
                  <w:tcMar>
                    <w:top w:w="36" w:type="dxa"/>
                    <w:left w:w="96" w:type="dxa"/>
                    <w:bottom w:w="36" w:type="dxa"/>
                    <w:right w:w="96" w:type="dxa"/>
                  </w:tcMar>
                  <w:vAlign w:val="center"/>
                  <w:hideMark/>
                </w:tcPr>
                <w:p w:rsidR="007B3369" w:rsidRDefault="008C4781" w:rsidP="00A30E99">
                  <w:pPr>
                    <w:pStyle w:val="NoSpacing"/>
                    <w:rPr>
                      <w:rFonts w:ascii="Arial" w:hAnsi="Arial" w:cs="Arial"/>
                      <w:sz w:val="14"/>
                      <w:szCs w:val="14"/>
                    </w:rPr>
                  </w:pPr>
                  <w:hyperlink r:id="rId57" w:history="1">
                    <w:r w:rsidR="007B3369">
                      <w:rPr>
                        <w:rStyle w:val="Hyperlink"/>
                        <w:rFonts w:ascii="Arial" w:hAnsi="Arial" w:cs="Arial"/>
                        <w:color w:val="1A5488"/>
                        <w:sz w:val="14"/>
                        <w:szCs w:val="14"/>
                      </w:rPr>
                      <w:t>STON</w:t>
                    </w:r>
                  </w:hyperlink>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7.80%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4.70%</w:t>
                  </w:r>
                </w:p>
              </w:tc>
              <w:tc>
                <w:tcPr>
                  <w:tcW w:w="0" w:type="auto"/>
                  <w:shd w:val="clear" w:color="auto" w:fill="FFFFFF"/>
                  <w:noWrap/>
                  <w:tcMar>
                    <w:top w:w="36" w:type="dxa"/>
                    <w:left w:w="96" w:type="dxa"/>
                    <w:bottom w:w="36" w:type="dxa"/>
                    <w:right w:w="96" w:type="dxa"/>
                  </w:tcMar>
                  <w:vAlign w:val="center"/>
                  <w:hideMark/>
                </w:tcPr>
                <w:p w:rsidR="007B3369" w:rsidRDefault="007B3369" w:rsidP="00A30E99">
                  <w:pPr>
                    <w:pStyle w:val="NoSpacing"/>
                  </w:pPr>
                  <w:r>
                    <w:t>2 / 41</w:t>
                  </w:r>
                </w:p>
              </w:tc>
            </w:tr>
          </w:tbl>
          <w:p w:rsidR="007B3369" w:rsidRDefault="007B3369" w:rsidP="00A30E99">
            <w:pPr>
              <w:pStyle w:val="NoSpacing"/>
              <w:rPr>
                <w:rFonts w:ascii="Arial" w:hAnsi="Arial" w:cs="Arial"/>
                <w:sz w:val="14"/>
                <w:szCs w:val="14"/>
              </w:rPr>
            </w:pPr>
          </w:p>
        </w:tc>
      </w:tr>
    </w:tbl>
    <w:p w:rsidR="007B3369" w:rsidRDefault="007B3369" w:rsidP="00A30E99">
      <w:pPr>
        <w:pStyle w:val="NoSpacing"/>
      </w:pPr>
    </w:p>
    <w:p w:rsidR="007C2D3F" w:rsidRDefault="007C2D3F" w:rsidP="00A30E99">
      <w:pPr>
        <w:pStyle w:val="NoSpacing"/>
      </w:pPr>
    </w:p>
    <w:p w:rsidR="00FF3FCD" w:rsidRPr="00FF3FCD" w:rsidRDefault="00FF3FCD" w:rsidP="008C0CAC">
      <w:pPr>
        <w:spacing w:after="0" w:line="240" w:lineRule="auto"/>
      </w:pPr>
    </w:p>
    <w:sectPr w:rsidR="00FF3FCD" w:rsidRPr="00FF3FCD" w:rsidSect="000B4D5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EA0" w:rsidRDefault="00260EA0" w:rsidP="00CD356B">
      <w:pPr>
        <w:spacing w:after="0" w:line="240" w:lineRule="auto"/>
      </w:pPr>
      <w:r>
        <w:separator/>
      </w:r>
    </w:p>
  </w:endnote>
  <w:endnote w:type="continuationSeparator" w:id="0">
    <w:p w:rsidR="00260EA0" w:rsidRDefault="00260EA0" w:rsidP="00CD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EA0" w:rsidRDefault="00260EA0" w:rsidP="00CD356B">
      <w:pPr>
        <w:spacing w:after="0" w:line="240" w:lineRule="auto"/>
      </w:pPr>
      <w:r>
        <w:separator/>
      </w:r>
    </w:p>
  </w:footnote>
  <w:footnote w:type="continuationSeparator" w:id="0">
    <w:p w:rsidR="00260EA0" w:rsidRDefault="00260EA0" w:rsidP="00CD356B">
      <w:pPr>
        <w:spacing w:after="0" w:line="240" w:lineRule="auto"/>
      </w:pPr>
      <w:r>
        <w:continuationSeparator/>
      </w:r>
    </w:p>
  </w:footnote>
  <w:footnote w:id="1">
    <w:p w:rsidR="00AF106A" w:rsidRDefault="00AF106A">
      <w:pPr>
        <w:pStyle w:val="FootnoteText"/>
      </w:pPr>
      <w:r>
        <w:rPr>
          <w:rStyle w:val="FootnoteReference"/>
        </w:rPr>
        <w:footnoteRef/>
      </w:r>
      <w:hyperlink r:id="rId1" w:history="1">
        <w:r w:rsidRPr="009C7A5D">
          <w:rPr>
            <w:rStyle w:val="Hyperlink"/>
          </w:rPr>
          <w:t>https://careers-hrblock.icims.com/jobs/4074/job</w:t>
        </w:r>
      </w:hyperlink>
      <w:r>
        <w:t xml:space="preserve"> 04 Dec 2010</w:t>
      </w:r>
    </w:p>
    <w:p w:rsidR="00AF106A" w:rsidRDefault="00AF106A">
      <w:pPr>
        <w:pStyle w:val="FootnoteText"/>
      </w:pPr>
      <w:hyperlink r:id="rId2" w:history="1">
        <w:r w:rsidRPr="009C7A5D">
          <w:rPr>
            <w:rStyle w:val="Hyperlink"/>
          </w:rPr>
          <w:t>https://careers-hrblock.icims.com/jobs/4099/job</w:t>
        </w:r>
      </w:hyperlink>
      <w:r>
        <w:t xml:space="preserve"> 04 Dec 2010</w:t>
      </w:r>
    </w:p>
    <w:p w:rsidR="00AF106A" w:rsidRDefault="00AF106A">
      <w:pPr>
        <w:pStyle w:val="FootnoteText"/>
      </w:pPr>
    </w:p>
  </w:footnote>
  <w:footnote w:id="2">
    <w:p w:rsidR="00AF106A" w:rsidRDefault="00AF106A">
      <w:pPr>
        <w:pStyle w:val="FootnoteText"/>
      </w:pPr>
      <w:r>
        <w:rPr>
          <w:rStyle w:val="FootnoteReference"/>
        </w:rPr>
        <w:footnoteRef/>
      </w:r>
      <w:r>
        <w:t xml:space="preserve"> See the Advanced Latino Blitz: Building Your Latino Client Base (2009), and Advanced Latino Building Your Client Base (BYCB) in both English and Spanish.  </w:t>
      </w:r>
      <w:hyperlink r:id="rId3" w:history="1">
        <w:r w:rsidRPr="009C7A5D">
          <w:rPr>
            <w:rStyle w:val="Hyperlink"/>
          </w:rPr>
          <w:t>https://taxpro.hrblock.com/taxproConsumerWebApp/consumer/getNewLocationSearch.do?requestInfo=true&amp;soi=null&amp;campaignId=null</w:t>
        </w:r>
      </w:hyperlink>
      <w:r>
        <w:t xml:space="preserve"> 4 Dec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912"/>
    <w:multiLevelType w:val="hybridMultilevel"/>
    <w:tmpl w:val="5D46D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0E6BDC"/>
    <w:multiLevelType w:val="hybridMultilevel"/>
    <w:tmpl w:val="666E09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C3F38"/>
    <w:multiLevelType w:val="hybridMultilevel"/>
    <w:tmpl w:val="21B68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44CBD"/>
    <w:multiLevelType w:val="hybridMultilevel"/>
    <w:tmpl w:val="126E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9073F"/>
    <w:multiLevelType w:val="hybridMultilevel"/>
    <w:tmpl w:val="6786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304F89"/>
    <w:multiLevelType w:val="hybridMultilevel"/>
    <w:tmpl w:val="17D6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F107A"/>
    <w:multiLevelType w:val="hybridMultilevel"/>
    <w:tmpl w:val="A4F8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9E30A5"/>
    <w:multiLevelType w:val="hybridMultilevel"/>
    <w:tmpl w:val="CE1C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D7753"/>
    <w:multiLevelType w:val="hybridMultilevel"/>
    <w:tmpl w:val="DD84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B4C33"/>
    <w:multiLevelType w:val="hybridMultilevel"/>
    <w:tmpl w:val="2C66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D014BD5"/>
    <w:multiLevelType w:val="hybridMultilevel"/>
    <w:tmpl w:val="D1A0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70803"/>
    <w:multiLevelType w:val="hybridMultilevel"/>
    <w:tmpl w:val="1CAA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6B02A5D"/>
    <w:multiLevelType w:val="hybridMultilevel"/>
    <w:tmpl w:val="D6E8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CC372C"/>
    <w:multiLevelType w:val="hybridMultilevel"/>
    <w:tmpl w:val="C354F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0819C1"/>
    <w:multiLevelType w:val="hybridMultilevel"/>
    <w:tmpl w:val="646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F34EC"/>
    <w:multiLevelType w:val="hybridMultilevel"/>
    <w:tmpl w:val="EF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10D73"/>
    <w:multiLevelType w:val="hybridMultilevel"/>
    <w:tmpl w:val="802E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07B22"/>
    <w:multiLevelType w:val="hybridMultilevel"/>
    <w:tmpl w:val="4D58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B42AC"/>
    <w:multiLevelType w:val="hybridMultilevel"/>
    <w:tmpl w:val="E4D6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B5111"/>
    <w:multiLevelType w:val="hybridMultilevel"/>
    <w:tmpl w:val="0D9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7"/>
  </w:num>
  <w:num w:numId="5">
    <w:abstractNumId w:val="3"/>
  </w:num>
  <w:num w:numId="6">
    <w:abstractNumId w:val="18"/>
  </w:num>
  <w:num w:numId="7">
    <w:abstractNumId w:val="16"/>
  </w:num>
  <w:num w:numId="8">
    <w:abstractNumId w:val="9"/>
  </w:num>
  <w:num w:numId="9">
    <w:abstractNumId w:val="19"/>
  </w:num>
  <w:num w:numId="10">
    <w:abstractNumId w:val="10"/>
  </w:num>
  <w:num w:numId="11">
    <w:abstractNumId w:val="14"/>
  </w:num>
  <w:num w:numId="12">
    <w:abstractNumId w:val="6"/>
  </w:num>
  <w:num w:numId="13">
    <w:abstractNumId w:val="5"/>
  </w:num>
  <w:num w:numId="14">
    <w:abstractNumId w:val="8"/>
  </w:num>
  <w:num w:numId="15">
    <w:abstractNumId w:val="7"/>
  </w:num>
  <w:num w:numId="16">
    <w:abstractNumId w:val="13"/>
  </w:num>
  <w:num w:numId="17">
    <w:abstractNumId w:val="12"/>
  </w:num>
  <w:num w:numId="18">
    <w:abstractNumId w:val="4"/>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84"/>
    <w:rsid w:val="00012A10"/>
    <w:rsid w:val="00017564"/>
    <w:rsid w:val="00021255"/>
    <w:rsid w:val="00034C76"/>
    <w:rsid w:val="00040181"/>
    <w:rsid w:val="00041F1A"/>
    <w:rsid w:val="00042C3A"/>
    <w:rsid w:val="00054326"/>
    <w:rsid w:val="0005765B"/>
    <w:rsid w:val="000613F6"/>
    <w:rsid w:val="00092734"/>
    <w:rsid w:val="000B4D50"/>
    <w:rsid w:val="000B5661"/>
    <w:rsid w:val="000C1D07"/>
    <w:rsid w:val="000D19AE"/>
    <w:rsid w:val="000D5621"/>
    <w:rsid w:val="000E6423"/>
    <w:rsid w:val="000F475D"/>
    <w:rsid w:val="00104BEC"/>
    <w:rsid w:val="001425D3"/>
    <w:rsid w:val="00186F65"/>
    <w:rsid w:val="001F4C3C"/>
    <w:rsid w:val="002070AB"/>
    <w:rsid w:val="00207748"/>
    <w:rsid w:val="00213CF3"/>
    <w:rsid w:val="00221341"/>
    <w:rsid w:val="00233123"/>
    <w:rsid w:val="00240440"/>
    <w:rsid w:val="00257101"/>
    <w:rsid w:val="002576FA"/>
    <w:rsid w:val="00260EA0"/>
    <w:rsid w:val="00276E2B"/>
    <w:rsid w:val="0028674D"/>
    <w:rsid w:val="002871C6"/>
    <w:rsid w:val="00294DBF"/>
    <w:rsid w:val="002A0434"/>
    <w:rsid w:val="002A04EE"/>
    <w:rsid w:val="002A1852"/>
    <w:rsid w:val="002C3E33"/>
    <w:rsid w:val="002E6478"/>
    <w:rsid w:val="002F6803"/>
    <w:rsid w:val="0031603D"/>
    <w:rsid w:val="00337161"/>
    <w:rsid w:val="0035444D"/>
    <w:rsid w:val="00366596"/>
    <w:rsid w:val="003B330D"/>
    <w:rsid w:val="003C036B"/>
    <w:rsid w:val="003E5D84"/>
    <w:rsid w:val="003F1571"/>
    <w:rsid w:val="0040241D"/>
    <w:rsid w:val="004339CA"/>
    <w:rsid w:val="0044631E"/>
    <w:rsid w:val="004505B9"/>
    <w:rsid w:val="00464FE1"/>
    <w:rsid w:val="00473804"/>
    <w:rsid w:val="00477036"/>
    <w:rsid w:val="00496B6E"/>
    <w:rsid w:val="004A14AA"/>
    <w:rsid w:val="004C1CFE"/>
    <w:rsid w:val="004C59FC"/>
    <w:rsid w:val="004F13F8"/>
    <w:rsid w:val="004F2812"/>
    <w:rsid w:val="004F2E33"/>
    <w:rsid w:val="0052193B"/>
    <w:rsid w:val="00525838"/>
    <w:rsid w:val="0052698B"/>
    <w:rsid w:val="0054745A"/>
    <w:rsid w:val="00586C10"/>
    <w:rsid w:val="00590CA8"/>
    <w:rsid w:val="00595CDE"/>
    <w:rsid w:val="005B4EA3"/>
    <w:rsid w:val="005C6EAF"/>
    <w:rsid w:val="005D6865"/>
    <w:rsid w:val="005E0942"/>
    <w:rsid w:val="005E5853"/>
    <w:rsid w:val="005E79C4"/>
    <w:rsid w:val="005F10D2"/>
    <w:rsid w:val="005F40D1"/>
    <w:rsid w:val="006174B3"/>
    <w:rsid w:val="00633679"/>
    <w:rsid w:val="00634B81"/>
    <w:rsid w:val="00637E43"/>
    <w:rsid w:val="006434AD"/>
    <w:rsid w:val="0065141D"/>
    <w:rsid w:val="00653068"/>
    <w:rsid w:val="00656E8E"/>
    <w:rsid w:val="00673D0E"/>
    <w:rsid w:val="00695E91"/>
    <w:rsid w:val="006B1672"/>
    <w:rsid w:val="006B743E"/>
    <w:rsid w:val="006D3189"/>
    <w:rsid w:val="006E7799"/>
    <w:rsid w:val="007040F6"/>
    <w:rsid w:val="00706A12"/>
    <w:rsid w:val="007173D5"/>
    <w:rsid w:val="0072323F"/>
    <w:rsid w:val="00726625"/>
    <w:rsid w:val="00727469"/>
    <w:rsid w:val="00736E92"/>
    <w:rsid w:val="00755B63"/>
    <w:rsid w:val="007A5458"/>
    <w:rsid w:val="007B3369"/>
    <w:rsid w:val="007B4512"/>
    <w:rsid w:val="007C2D3F"/>
    <w:rsid w:val="007F1102"/>
    <w:rsid w:val="007F2B04"/>
    <w:rsid w:val="008129B7"/>
    <w:rsid w:val="00813A6C"/>
    <w:rsid w:val="00825E8B"/>
    <w:rsid w:val="0083271D"/>
    <w:rsid w:val="0084243C"/>
    <w:rsid w:val="008511A7"/>
    <w:rsid w:val="00854FA6"/>
    <w:rsid w:val="00861383"/>
    <w:rsid w:val="0087434D"/>
    <w:rsid w:val="00894003"/>
    <w:rsid w:val="008C0CAC"/>
    <w:rsid w:val="008C4781"/>
    <w:rsid w:val="008D4DFA"/>
    <w:rsid w:val="008D5292"/>
    <w:rsid w:val="008D7BDF"/>
    <w:rsid w:val="009416F0"/>
    <w:rsid w:val="009420EA"/>
    <w:rsid w:val="0095761C"/>
    <w:rsid w:val="0096315F"/>
    <w:rsid w:val="00996D33"/>
    <w:rsid w:val="00997A39"/>
    <w:rsid w:val="009A5F8E"/>
    <w:rsid w:val="009A641E"/>
    <w:rsid w:val="009A65C7"/>
    <w:rsid w:val="009B0878"/>
    <w:rsid w:val="009B29BF"/>
    <w:rsid w:val="009C3094"/>
    <w:rsid w:val="009D6687"/>
    <w:rsid w:val="009E0464"/>
    <w:rsid w:val="009E3567"/>
    <w:rsid w:val="009E4713"/>
    <w:rsid w:val="00A206F2"/>
    <w:rsid w:val="00A26A02"/>
    <w:rsid w:val="00A30E99"/>
    <w:rsid w:val="00A43481"/>
    <w:rsid w:val="00A563B3"/>
    <w:rsid w:val="00A64E47"/>
    <w:rsid w:val="00A70E21"/>
    <w:rsid w:val="00A90869"/>
    <w:rsid w:val="00A95830"/>
    <w:rsid w:val="00AB0C1B"/>
    <w:rsid w:val="00AC2B12"/>
    <w:rsid w:val="00AC4F5A"/>
    <w:rsid w:val="00AD564D"/>
    <w:rsid w:val="00AE10B2"/>
    <w:rsid w:val="00AE2B02"/>
    <w:rsid w:val="00AF106A"/>
    <w:rsid w:val="00AF1B7D"/>
    <w:rsid w:val="00B0515F"/>
    <w:rsid w:val="00B22571"/>
    <w:rsid w:val="00B27466"/>
    <w:rsid w:val="00B43B4C"/>
    <w:rsid w:val="00B5003B"/>
    <w:rsid w:val="00B70829"/>
    <w:rsid w:val="00B71218"/>
    <w:rsid w:val="00B8453E"/>
    <w:rsid w:val="00B84E37"/>
    <w:rsid w:val="00B97824"/>
    <w:rsid w:val="00BA3D30"/>
    <w:rsid w:val="00BB2FE8"/>
    <w:rsid w:val="00BB5EFC"/>
    <w:rsid w:val="00BD6CCE"/>
    <w:rsid w:val="00BE5F72"/>
    <w:rsid w:val="00BF35FE"/>
    <w:rsid w:val="00C447CD"/>
    <w:rsid w:val="00C46B25"/>
    <w:rsid w:val="00C6610E"/>
    <w:rsid w:val="00C747D9"/>
    <w:rsid w:val="00C76592"/>
    <w:rsid w:val="00CB1FCD"/>
    <w:rsid w:val="00CB7B98"/>
    <w:rsid w:val="00CD356B"/>
    <w:rsid w:val="00CD60FD"/>
    <w:rsid w:val="00CF2908"/>
    <w:rsid w:val="00D10322"/>
    <w:rsid w:val="00D17CCE"/>
    <w:rsid w:val="00D4539A"/>
    <w:rsid w:val="00D46812"/>
    <w:rsid w:val="00D46ED5"/>
    <w:rsid w:val="00D50184"/>
    <w:rsid w:val="00D614DA"/>
    <w:rsid w:val="00D67EE1"/>
    <w:rsid w:val="00D70BE4"/>
    <w:rsid w:val="00D72AF2"/>
    <w:rsid w:val="00D80EEC"/>
    <w:rsid w:val="00D85788"/>
    <w:rsid w:val="00D85907"/>
    <w:rsid w:val="00DA2069"/>
    <w:rsid w:val="00DB4A3C"/>
    <w:rsid w:val="00DC7768"/>
    <w:rsid w:val="00DF4DAF"/>
    <w:rsid w:val="00E0460F"/>
    <w:rsid w:val="00E07BE6"/>
    <w:rsid w:val="00E24CD8"/>
    <w:rsid w:val="00E25FF7"/>
    <w:rsid w:val="00E51736"/>
    <w:rsid w:val="00E61079"/>
    <w:rsid w:val="00ED0027"/>
    <w:rsid w:val="00F17501"/>
    <w:rsid w:val="00F61DE0"/>
    <w:rsid w:val="00F75C83"/>
    <w:rsid w:val="00F94FD7"/>
    <w:rsid w:val="00FA7823"/>
    <w:rsid w:val="00FB5AFD"/>
    <w:rsid w:val="00FD0A84"/>
    <w:rsid w:val="00FF3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1B"/>
    <w:pPr>
      <w:spacing w:line="420" w:lineRule="exact"/>
    </w:pPr>
    <w:rPr>
      <w:sz w:val="24"/>
    </w:rPr>
  </w:style>
  <w:style w:type="paragraph" w:styleId="Heading1">
    <w:name w:val="heading 1"/>
    <w:basedOn w:val="Normal"/>
    <w:next w:val="Normal"/>
    <w:link w:val="Heading1Char"/>
    <w:uiPriority w:val="9"/>
    <w:qFormat/>
    <w:rsid w:val="0005765B"/>
    <w:pPr>
      <w:keepNext/>
      <w:keepLines/>
      <w:shd w:val="clear" w:color="auto" w:fill="63891F" w:themeFill="accent5"/>
      <w:spacing w:before="480" w:after="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E51736"/>
    <w:pPr>
      <w:keepNext/>
      <w:keepLines/>
      <w:pBdr>
        <w:bottom w:val="outset" w:sz="6" w:space="1" w:color="auto"/>
      </w:pBdr>
      <w:spacing w:before="200" w:after="0"/>
      <w:jc w:val="center"/>
      <w:outlineLvl w:val="1"/>
    </w:pPr>
    <w:rPr>
      <w:rFonts w:asciiTheme="majorHAnsi" w:eastAsiaTheme="majorEastAsia" w:hAnsiTheme="majorHAnsi" w:cstheme="majorBidi"/>
      <w:b/>
      <w:bCs/>
      <w:color w:val="846648" w:themeColor="accent4"/>
      <w:sz w:val="26"/>
      <w:szCs w:val="26"/>
    </w:rPr>
  </w:style>
  <w:style w:type="paragraph" w:styleId="Heading3">
    <w:name w:val="heading 3"/>
    <w:basedOn w:val="Normal"/>
    <w:next w:val="Normal"/>
    <w:link w:val="Heading3Char"/>
    <w:uiPriority w:val="9"/>
    <w:unhideWhenUsed/>
    <w:qFormat/>
    <w:rsid w:val="00D80EEC"/>
    <w:pPr>
      <w:keepNext/>
      <w:keepLines/>
      <w:spacing w:before="200" w:after="0"/>
      <w:outlineLvl w:val="2"/>
    </w:pPr>
    <w:rPr>
      <w:rFonts w:asciiTheme="majorHAnsi" w:eastAsiaTheme="majorEastAsia" w:hAnsiTheme="majorHAnsi" w:cstheme="majorBidi"/>
      <w:b/>
      <w:bCs/>
      <w:color w:val="63891F" w:themeColor="accent5"/>
    </w:rPr>
  </w:style>
  <w:style w:type="paragraph" w:styleId="Heading4">
    <w:name w:val="heading 4"/>
    <w:basedOn w:val="Normal"/>
    <w:next w:val="Normal"/>
    <w:link w:val="Heading4Char"/>
    <w:uiPriority w:val="9"/>
    <w:unhideWhenUsed/>
    <w:qFormat/>
    <w:rsid w:val="00D80EEC"/>
    <w:pPr>
      <w:keepNext/>
      <w:keepLines/>
      <w:spacing w:before="200" w:after="0"/>
      <w:outlineLvl w:val="3"/>
    </w:pPr>
    <w:rPr>
      <w:rFonts w:asciiTheme="majorHAnsi" w:eastAsiaTheme="majorEastAsia" w:hAnsiTheme="majorHAnsi" w:cstheme="majorBidi"/>
      <w:b/>
      <w:bCs/>
      <w:i/>
      <w:iCs/>
      <w:color w:val="63891F" w:themeColor="accent5"/>
    </w:rPr>
  </w:style>
  <w:style w:type="paragraph" w:styleId="Heading5">
    <w:name w:val="heading 5"/>
    <w:basedOn w:val="Normal"/>
    <w:next w:val="Normal"/>
    <w:link w:val="Heading5Char"/>
    <w:uiPriority w:val="9"/>
    <w:unhideWhenUsed/>
    <w:qFormat/>
    <w:rsid w:val="002A0434"/>
    <w:pPr>
      <w:keepNext/>
      <w:keepLines/>
      <w:spacing w:before="200" w:after="0"/>
      <w:outlineLvl w:val="4"/>
    </w:pPr>
    <w:rPr>
      <w:rFonts w:asciiTheme="majorHAnsi" w:eastAsiaTheme="majorEastAsia" w:hAnsiTheme="majorHAnsi" w:cstheme="majorBidi"/>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5B"/>
    <w:rPr>
      <w:rFonts w:asciiTheme="majorHAnsi" w:eastAsiaTheme="majorEastAsia" w:hAnsiTheme="majorHAnsi" w:cstheme="majorBidi"/>
      <w:b/>
      <w:bCs/>
      <w:color w:val="FFFFFF" w:themeColor="background1"/>
      <w:sz w:val="28"/>
      <w:szCs w:val="28"/>
      <w:shd w:val="clear" w:color="auto" w:fill="63891F" w:themeFill="accent5"/>
    </w:rPr>
  </w:style>
  <w:style w:type="paragraph" w:styleId="TOCHeading">
    <w:name w:val="TOC Heading"/>
    <w:basedOn w:val="Heading1"/>
    <w:next w:val="Normal"/>
    <w:uiPriority w:val="39"/>
    <w:unhideWhenUsed/>
    <w:qFormat/>
    <w:rsid w:val="00FF3FCD"/>
    <w:pPr>
      <w:outlineLvl w:val="9"/>
    </w:pPr>
  </w:style>
  <w:style w:type="paragraph" w:styleId="BalloonText">
    <w:name w:val="Balloon Text"/>
    <w:basedOn w:val="Normal"/>
    <w:link w:val="BalloonTextChar"/>
    <w:uiPriority w:val="99"/>
    <w:semiHidden/>
    <w:unhideWhenUsed/>
    <w:rsid w:val="00FF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CD"/>
    <w:rPr>
      <w:rFonts w:ascii="Tahoma" w:hAnsi="Tahoma" w:cs="Tahoma"/>
      <w:sz w:val="16"/>
      <w:szCs w:val="16"/>
    </w:rPr>
  </w:style>
  <w:style w:type="paragraph" w:styleId="TOC1">
    <w:name w:val="toc 1"/>
    <w:basedOn w:val="Normal"/>
    <w:next w:val="Normal"/>
    <w:autoRedefine/>
    <w:uiPriority w:val="39"/>
    <w:unhideWhenUsed/>
    <w:rsid w:val="00FF3FCD"/>
    <w:pPr>
      <w:spacing w:after="100"/>
    </w:pPr>
  </w:style>
  <w:style w:type="character" w:styleId="Hyperlink">
    <w:name w:val="Hyperlink"/>
    <w:basedOn w:val="DefaultParagraphFont"/>
    <w:uiPriority w:val="99"/>
    <w:unhideWhenUsed/>
    <w:rsid w:val="00FF3FCD"/>
    <w:rPr>
      <w:color w:val="3399FF" w:themeColor="hyperlink"/>
      <w:u w:val="single"/>
    </w:rPr>
  </w:style>
  <w:style w:type="paragraph" w:styleId="TOC2">
    <w:name w:val="toc 2"/>
    <w:basedOn w:val="Normal"/>
    <w:next w:val="Normal"/>
    <w:autoRedefine/>
    <w:uiPriority w:val="39"/>
    <w:unhideWhenUsed/>
    <w:rsid w:val="00E61079"/>
    <w:pPr>
      <w:spacing w:before="200" w:after="100"/>
      <w:ind w:left="200"/>
    </w:pPr>
    <w:rPr>
      <w:sz w:val="20"/>
      <w:szCs w:val="20"/>
      <w:lang w:bidi="en-US"/>
    </w:rPr>
  </w:style>
  <w:style w:type="paragraph" w:styleId="FootnoteText">
    <w:name w:val="footnote text"/>
    <w:basedOn w:val="Normal"/>
    <w:link w:val="FootnoteTextChar"/>
    <w:uiPriority w:val="99"/>
    <w:semiHidden/>
    <w:unhideWhenUsed/>
    <w:rsid w:val="00CD3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56B"/>
    <w:rPr>
      <w:sz w:val="20"/>
      <w:szCs w:val="20"/>
    </w:rPr>
  </w:style>
  <w:style w:type="character" w:styleId="FootnoteReference">
    <w:name w:val="footnote reference"/>
    <w:basedOn w:val="DefaultParagraphFont"/>
    <w:uiPriority w:val="99"/>
    <w:semiHidden/>
    <w:unhideWhenUsed/>
    <w:rsid w:val="00CD356B"/>
    <w:rPr>
      <w:vertAlign w:val="superscript"/>
    </w:rPr>
  </w:style>
  <w:style w:type="paragraph" w:styleId="ListParagraph">
    <w:name w:val="List Paragraph"/>
    <w:basedOn w:val="Normal"/>
    <w:uiPriority w:val="34"/>
    <w:qFormat/>
    <w:rsid w:val="00D46ED5"/>
    <w:pPr>
      <w:ind w:left="720"/>
      <w:contextualSpacing/>
    </w:pPr>
  </w:style>
  <w:style w:type="character" w:styleId="FollowedHyperlink">
    <w:name w:val="FollowedHyperlink"/>
    <w:basedOn w:val="DefaultParagraphFont"/>
    <w:uiPriority w:val="99"/>
    <w:semiHidden/>
    <w:unhideWhenUsed/>
    <w:rsid w:val="009E3567"/>
    <w:rPr>
      <w:color w:val="B2B2B2" w:themeColor="followedHyperlink"/>
      <w:u w:val="single"/>
    </w:rPr>
  </w:style>
  <w:style w:type="character" w:customStyle="1" w:styleId="Heading2Char">
    <w:name w:val="Heading 2 Char"/>
    <w:basedOn w:val="DefaultParagraphFont"/>
    <w:link w:val="Heading2"/>
    <w:uiPriority w:val="9"/>
    <w:rsid w:val="00E51736"/>
    <w:rPr>
      <w:rFonts w:asciiTheme="majorHAnsi" w:eastAsiaTheme="majorEastAsia" w:hAnsiTheme="majorHAnsi" w:cstheme="majorBidi"/>
      <w:b/>
      <w:bCs/>
      <w:color w:val="846648" w:themeColor="accent4"/>
      <w:sz w:val="26"/>
      <w:szCs w:val="26"/>
    </w:rPr>
  </w:style>
  <w:style w:type="character" w:customStyle="1" w:styleId="Heading3Char">
    <w:name w:val="Heading 3 Char"/>
    <w:basedOn w:val="DefaultParagraphFont"/>
    <w:link w:val="Heading3"/>
    <w:uiPriority w:val="9"/>
    <w:rsid w:val="00D80EEC"/>
    <w:rPr>
      <w:rFonts w:asciiTheme="majorHAnsi" w:eastAsiaTheme="majorEastAsia" w:hAnsiTheme="majorHAnsi" w:cstheme="majorBidi"/>
      <w:b/>
      <w:bCs/>
      <w:color w:val="63891F" w:themeColor="accent5"/>
      <w:sz w:val="24"/>
    </w:rPr>
  </w:style>
  <w:style w:type="character" w:customStyle="1" w:styleId="Heading4Char">
    <w:name w:val="Heading 4 Char"/>
    <w:basedOn w:val="DefaultParagraphFont"/>
    <w:link w:val="Heading4"/>
    <w:uiPriority w:val="9"/>
    <w:rsid w:val="00D80EEC"/>
    <w:rPr>
      <w:rFonts w:asciiTheme="majorHAnsi" w:eastAsiaTheme="majorEastAsia" w:hAnsiTheme="majorHAnsi" w:cstheme="majorBidi"/>
      <w:b/>
      <w:bCs/>
      <w:i/>
      <w:iCs/>
      <w:color w:val="63891F" w:themeColor="accent5"/>
      <w:sz w:val="24"/>
    </w:rPr>
  </w:style>
  <w:style w:type="character" w:customStyle="1" w:styleId="Heading5Char">
    <w:name w:val="Heading 5 Char"/>
    <w:basedOn w:val="DefaultParagraphFont"/>
    <w:link w:val="Heading5"/>
    <w:uiPriority w:val="9"/>
    <w:rsid w:val="002A0434"/>
    <w:rPr>
      <w:rFonts w:asciiTheme="majorHAnsi" w:eastAsiaTheme="majorEastAsia" w:hAnsiTheme="majorHAnsi" w:cstheme="majorBidi"/>
      <w:color w:val="2C385D" w:themeColor="accent1" w:themeShade="7F"/>
    </w:rPr>
  </w:style>
  <w:style w:type="paragraph" w:styleId="TOC3">
    <w:name w:val="toc 3"/>
    <w:basedOn w:val="Normal"/>
    <w:next w:val="Normal"/>
    <w:autoRedefine/>
    <w:uiPriority w:val="39"/>
    <w:unhideWhenUsed/>
    <w:rsid w:val="00E0460F"/>
    <w:pPr>
      <w:spacing w:after="100"/>
      <w:ind w:left="440"/>
    </w:pPr>
  </w:style>
  <w:style w:type="character" w:styleId="Strong">
    <w:name w:val="Strong"/>
    <w:basedOn w:val="DefaultParagraphFont"/>
    <w:uiPriority w:val="22"/>
    <w:qFormat/>
    <w:rsid w:val="00186F65"/>
    <w:rPr>
      <w:b/>
      <w:bCs/>
    </w:rPr>
  </w:style>
  <w:style w:type="paragraph" w:styleId="Title">
    <w:name w:val="Title"/>
    <w:basedOn w:val="Normal"/>
    <w:next w:val="Normal"/>
    <w:link w:val="TitleChar"/>
    <w:uiPriority w:val="10"/>
    <w:qFormat/>
    <w:rsid w:val="009420EA"/>
    <w:pPr>
      <w:pBdr>
        <w:bottom w:val="single" w:sz="8" w:space="4" w:color="6076B4" w:themeColor="accent1"/>
      </w:pBdr>
      <w:spacing w:after="300" w:line="240" w:lineRule="auto"/>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9420EA"/>
    <w:rPr>
      <w:rFonts w:asciiTheme="majorHAnsi" w:eastAsiaTheme="majorEastAsia" w:hAnsiTheme="majorHAnsi" w:cstheme="majorBidi"/>
      <w:color w:val="234170" w:themeColor="text2" w:themeShade="BF"/>
      <w:spacing w:val="5"/>
      <w:kern w:val="28"/>
      <w:sz w:val="52"/>
      <w:szCs w:val="52"/>
    </w:rPr>
  </w:style>
  <w:style w:type="character" w:customStyle="1" w:styleId="apple-style-span">
    <w:name w:val="apple-style-span"/>
    <w:basedOn w:val="DefaultParagraphFont"/>
    <w:rsid w:val="009420EA"/>
  </w:style>
  <w:style w:type="character" w:customStyle="1" w:styleId="apple-converted-space">
    <w:name w:val="apple-converted-space"/>
    <w:basedOn w:val="DefaultParagraphFont"/>
    <w:rsid w:val="009420EA"/>
  </w:style>
  <w:style w:type="table" w:styleId="MediumShading1-Accent3">
    <w:name w:val="Medium Shading 1 Accent 3"/>
    <w:basedOn w:val="TableNormal"/>
    <w:uiPriority w:val="63"/>
    <w:rsid w:val="00B8453E"/>
    <w:pPr>
      <w:spacing w:after="0" w:line="240" w:lineRule="auto"/>
    </w:pPr>
    <w:tblPr>
      <w:tblStyleRowBandSize w:val="1"/>
      <w:tblStyleColBandSize w:val="1"/>
      <w:tblInd w:w="0" w:type="dxa"/>
      <w:tbl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single" w:sz="8" w:space="0" w:color="ECA25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shd w:val="clear" w:color="auto" w:fill="E68422" w:themeFill="accent3"/>
      </w:tcPr>
    </w:tblStylePr>
    <w:tblStylePr w:type="lastRow">
      <w:pPr>
        <w:spacing w:before="0" w:after="0" w:line="240" w:lineRule="auto"/>
      </w:pPr>
      <w:rPr>
        <w:b/>
        <w:bCs/>
      </w:rPr>
      <w:tblPr/>
      <w:tcPr>
        <w:tcBorders>
          <w:top w:val="double" w:sz="6"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0C8" w:themeFill="accent3" w:themeFillTint="3F"/>
      </w:tcPr>
    </w:tblStylePr>
    <w:tblStylePr w:type="band1Horz">
      <w:tblPr/>
      <w:tcPr>
        <w:tcBorders>
          <w:insideH w:val="nil"/>
          <w:insideV w:val="nil"/>
        </w:tcBorders>
        <w:shd w:val="clear" w:color="auto" w:fill="F8E0C8"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04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F1A"/>
  </w:style>
  <w:style w:type="paragraph" w:styleId="Footer">
    <w:name w:val="footer"/>
    <w:basedOn w:val="Normal"/>
    <w:link w:val="FooterChar"/>
    <w:uiPriority w:val="99"/>
    <w:unhideWhenUsed/>
    <w:rsid w:val="0004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F1A"/>
  </w:style>
  <w:style w:type="paragraph" w:styleId="NoSpacing">
    <w:name w:val="No Spacing"/>
    <w:link w:val="NoSpacingChar"/>
    <w:uiPriority w:val="1"/>
    <w:qFormat/>
    <w:rsid w:val="00366596"/>
    <w:pPr>
      <w:spacing w:after="0" w:line="240" w:lineRule="auto"/>
    </w:pPr>
    <w:rPr>
      <w:sz w:val="24"/>
    </w:rPr>
  </w:style>
  <w:style w:type="table" w:styleId="LightShading-Accent3">
    <w:name w:val="Light Shading Accent 3"/>
    <w:basedOn w:val="TableNormal"/>
    <w:uiPriority w:val="60"/>
    <w:rsid w:val="00366596"/>
    <w:pPr>
      <w:spacing w:after="0" w:line="240" w:lineRule="auto"/>
    </w:pPr>
    <w:rPr>
      <w:color w:val="B16214" w:themeColor="accent3" w:themeShade="BF"/>
    </w:rPr>
    <w:tblPr>
      <w:tblStyleRowBandSize w:val="1"/>
      <w:tblStyleColBandSize w:val="1"/>
      <w:tblInd w:w="0" w:type="dxa"/>
      <w:tblBorders>
        <w:top w:val="single" w:sz="8" w:space="0" w:color="E68422" w:themeColor="accent3"/>
        <w:bottom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la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0C8" w:themeFill="accent3" w:themeFillTint="3F"/>
      </w:tcPr>
    </w:tblStylePr>
    <w:tblStylePr w:type="band1Horz">
      <w:tblPr/>
      <w:tcPr>
        <w:tcBorders>
          <w:left w:val="nil"/>
          <w:right w:val="nil"/>
          <w:insideH w:val="nil"/>
          <w:insideV w:val="nil"/>
        </w:tcBorders>
        <w:shd w:val="clear" w:color="auto" w:fill="F8E0C8" w:themeFill="accent3" w:themeFillTint="3F"/>
      </w:tcPr>
    </w:tblStylePr>
  </w:style>
  <w:style w:type="table" w:styleId="LightList-Accent3">
    <w:name w:val="Light List Accent 3"/>
    <w:basedOn w:val="TableNormal"/>
    <w:uiPriority w:val="61"/>
    <w:rsid w:val="00366596"/>
    <w:pPr>
      <w:spacing w:after="0" w:line="240" w:lineRule="auto"/>
    </w:pPr>
    <w:tblPr>
      <w:tblStyleRowBandSize w:val="1"/>
      <w:tblStyleColBandSize w:val="1"/>
      <w:tblInd w:w="0" w:type="dxa"/>
      <w:tblBorders>
        <w:top w:val="single" w:sz="8" w:space="0" w:color="E68422" w:themeColor="accent3"/>
        <w:left w:val="single" w:sz="8" w:space="0" w:color="E68422" w:themeColor="accent3"/>
        <w:bottom w:val="single" w:sz="8" w:space="0" w:color="E68422" w:themeColor="accent3"/>
        <w:right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8422" w:themeFill="accent3"/>
      </w:tcPr>
    </w:tblStylePr>
    <w:tblStylePr w:type="lastRow">
      <w:pPr>
        <w:spacing w:before="0" w:after="0" w:line="240" w:lineRule="auto"/>
      </w:pPr>
      <w:rPr>
        <w:b/>
        <w:bCs/>
      </w:rPr>
      <w:tblPr/>
      <w:tcPr>
        <w:tcBorders>
          <w:top w:val="double" w:sz="6" w:space="0" w:color="E68422" w:themeColor="accent3"/>
          <w:left w:val="single" w:sz="8" w:space="0" w:color="E68422" w:themeColor="accent3"/>
          <w:bottom w:val="single" w:sz="8" w:space="0" w:color="E68422" w:themeColor="accent3"/>
          <w:right w:val="single" w:sz="8" w:space="0" w:color="E68422" w:themeColor="accent3"/>
        </w:tcBorders>
      </w:tcPr>
    </w:tblStylePr>
    <w:tblStylePr w:type="firstCol">
      <w:rPr>
        <w:b/>
        <w:bCs/>
      </w:rPr>
    </w:tblStylePr>
    <w:tblStylePr w:type="lastCol">
      <w:rPr>
        <w:b/>
        <w:bCs/>
      </w:rPr>
    </w:tblStylePr>
    <w:tblStylePr w:type="band1Vert">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tblStylePr w:type="band1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style>
  <w:style w:type="table" w:styleId="MediumShading1-Accent5">
    <w:name w:val="Medium Shading 1 Accent 5"/>
    <w:basedOn w:val="TableNormal"/>
    <w:uiPriority w:val="63"/>
    <w:rsid w:val="00E51736"/>
    <w:pPr>
      <w:spacing w:after="0" w:line="240" w:lineRule="auto"/>
    </w:pPr>
    <w:tblPr>
      <w:tblStyleRowBandSize w:val="1"/>
      <w:tblStyleColBandSize w:val="1"/>
      <w:tblInd w:w="0" w:type="dxa"/>
      <w:tbl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single" w:sz="8" w:space="0" w:color="95CE2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shd w:val="clear" w:color="auto" w:fill="63891F" w:themeFill="accent5"/>
      </w:tcPr>
    </w:tblStylePr>
    <w:tblStylePr w:type="lastRow">
      <w:pPr>
        <w:spacing w:before="0" w:after="0" w:line="240" w:lineRule="auto"/>
      </w:pPr>
      <w:rPr>
        <w:b/>
        <w:bCs/>
      </w:rPr>
      <w:tblPr/>
      <w:tcPr>
        <w:tcBorders>
          <w:top w:val="double" w:sz="6"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FB9" w:themeFill="accent5" w:themeFillTint="3F"/>
      </w:tcPr>
    </w:tblStylePr>
    <w:tblStylePr w:type="band1Horz">
      <w:tblPr/>
      <w:tcPr>
        <w:tcBorders>
          <w:insideH w:val="nil"/>
          <w:insideV w:val="nil"/>
        </w:tcBorders>
        <w:shd w:val="clear" w:color="auto" w:fill="DCEFB9"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51736"/>
    <w:pPr>
      <w:spacing w:after="0" w:line="240" w:lineRule="auto"/>
    </w:pPr>
    <w:tblPr>
      <w:tblStyleRowBandSize w:val="1"/>
      <w:tblStyleColBandSize w:val="1"/>
      <w:tblInd w:w="0" w:type="dxa"/>
      <w:tblBorders>
        <w:top w:val="single" w:sz="8" w:space="0" w:color="63891F" w:themeColor="accent5"/>
        <w:left w:val="single" w:sz="8" w:space="0" w:color="63891F" w:themeColor="accent5"/>
        <w:bottom w:val="single" w:sz="8" w:space="0" w:color="63891F" w:themeColor="accent5"/>
        <w:right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3891F" w:themeFill="accent5"/>
      </w:tcPr>
    </w:tblStylePr>
    <w:tblStylePr w:type="lastRow">
      <w:pPr>
        <w:spacing w:before="0" w:after="0" w:line="240" w:lineRule="auto"/>
      </w:pPr>
      <w:rPr>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tcBorders>
      </w:tcPr>
    </w:tblStylePr>
    <w:tblStylePr w:type="firstCol">
      <w:rPr>
        <w:b/>
        <w:bCs/>
      </w:rPr>
    </w:tblStylePr>
    <w:tblStylePr w:type="lastCol">
      <w:rPr>
        <w:b/>
        <w:bCs/>
      </w:r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style>
  <w:style w:type="character" w:customStyle="1" w:styleId="NoSpacingChar">
    <w:name w:val="No Spacing Char"/>
    <w:basedOn w:val="DefaultParagraphFont"/>
    <w:link w:val="NoSpacing"/>
    <w:uiPriority w:val="1"/>
    <w:rsid w:val="000B4D50"/>
    <w:rPr>
      <w:sz w:val="24"/>
    </w:rPr>
  </w:style>
  <w:style w:type="table" w:styleId="LightShading-Accent5">
    <w:name w:val="Light Shading Accent 5"/>
    <w:basedOn w:val="TableNormal"/>
    <w:uiPriority w:val="60"/>
    <w:rsid w:val="00D72AF2"/>
    <w:pPr>
      <w:spacing w:after="0" w:line="240" w:lineRule="auto"/>
    </w:pPr>
    <w:rPr>
      <w:color w:val="496617" w:themeColor="accent5" w:themeShade="BF"/>
    </w:rPr>
    <w:tblPr>
      <w:tblStyleRowBandSize w:val="1"/>
      <w:tblStyleColBandSize w:val="1"/>
      <w:tblInd w:w="0" w:type="dxa"/>
      <w:tblBorders>
        <w:top w:val="single" w:sz="8" w:space="0" w:color="63891F" w:themeColor="accent5"/>
        <w:bottom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la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B9" w:themeFill="accent5" w:themeFillTint="3F"/>
      </w:tcPr>
    </w:tblStylePr>
    <w:tblStylePr w:type="band1Horz">
      <w:tblPr/>
      <w:tcPr>
        <w:tcBorders>
          <w:left w:val="nil"/>
          <w:right w:val="nil"/>
          <w:insideH w:val="nil"/>
          <w:insideV w:val="nil"/>
        </w:tcBorders>
        <w:shd w:val="clear" w:color="auto" w:fill="DCEFB9"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1B"/>
    <w:pPr>
      <w:spacing w:line="420" w:lineRule="exact"/>
    </w:pPr>
    <w:rPr>
      <w:sz w:val="24"/>
    </w:rPr>
  </w:style>
  <w:style w:type="paragraph" w:styleId="Heading1">
    <w:name w:val="heading 1"/>
    <w:basedOn w:val="Normal"/>
    <w:next w:val="Normal"/>
    <w:link w:val="Heading1Char"/>
    <w:uiPriority w:val="9"/>
    <w:qFormat/>
    <w:rsid w:val="0005765B"/>
    <w:pPr>
      <w:keepNext/>
      <w:keepLines/>
      <w:shd w:val="clear" w:color="auto" w:fill="63891F" w:themeFill="accent5"/>
      <w:spacing w:before="480" w:after="0"/>
      <w:outlineLvl w:val="0"/>
    </w:pPr>
    <w:rPr>
      <w:rFonts w:asciiTheme="majorHAnsi" w:eastAsiaTheme="majorEastAsia" w:hAnsiTheme="maj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E51736"/>
    <w:pPr>
      <w:keepNext/>
      <w:keepLines/>
      <w:pBdr>
        <w:bottom w:val="outset" w:sz="6" w:space="1" w:color="auto"/>
      </w:pBdr>
      <w:spacing w:before="200" w:after="0"/>
      <w:jc w:val="center"/>
      <w:outlineLvl w:val="1"/>
    </w:pPr>
    <w:rPr>
      <w:rFonts w:asciiTheme="majorHAnsi" w:eastAsiaTheme="majorEastAsia" w:hAnsiTheme="majorHAnsi" w:cstheme="majorBidi"/>
      <w:b/>
      <w:bCs/>
      <w:color w:val="846648" w:themeColor="accent4"/>
      <w:sz w:val="26"/>
      <w:szCs w:val="26"/>
    </w:rPr>
  </w:style>
  <w:style w:type="paragraph" w:styleId="Heading3">
    <w:name w:val="heading 3"/>
    <w:basedOn w:val="Normal"/>
    <w:next w:val="Normal"/>
    <w:link w:val="Heading3Char"/>
    <w:uiPriority w:val="9"/>
    <w:unhideWhenUsed/>
    <w:qFormat/>
    <w:rsid w:val="00D80EEC"/>
    <w:pPr>
      <w:keepNext/>
      <w:keepLines/>
      <w:spacing w:before="200" w:after="0"/>
      <w:outlineLvl w:val="2"/>
    </w:pPr>
    <w:rPr>
      <w:rFonts w:asciiTheme="majorHAnsi" w:eastAsiaTheme="majorEastAsia" w:hAnsiTheme="majorHAnsi" w:cstheme="majorBidi"/>
      <w:b/>
      <w:bCs/>
      <w:color w:val="63891F" w:themeColor="accent5"/>
    </w:rPr>
  </w:style>
  <w:style w:type="paragraph" w:styleId="Heading4">
    <w:name w:val="heading 4"/>
    <w:basedOn w:val="Normal"/>
    <w:next w:val="Normal"/>
    <w:link w:val="Heading4Char"/>
    <w:uiPriority w:val="9"/>
    <w:unhideWhenUsed/>
    <w:qFormat/>
    <w:rsid w:val="00D80EEC"/>
    <w:pPr>
      <w:keepNext/>
      <w:keepLines/>
      <w:spacing w:before="200" w:after="0"/>
      <w:outlineLvl w:val="3"/>
    </w:pPr>
    <w:rPr>
      <w:rFonts w:asciiTheme="majorHAnsi" w:eastAsiaTheme="majorEastAsia" w:hAnsiTheme="majorHAnsi" w:cstheme="majorBidi"/>
      <w:b/>
      <w:bCs/>
      <w:i/>
      <w:iCs/>
      <w:color w:val="63891F" w:themeColor="accent5"/>
    </w:rPr>
  </w:style>
  <w:style w:type="paragraph" w:styleId="Heading5">
    <w:name w:val="heading 5"/>
    <w:basedOn w:val="Normal"/>
    <w:next w:val="Normal"/>
    <w:link w:val="Heading5Char"/>
    <w:uiPriority w:val="9"/>
    <w:unhideWhenUsed/>
    <w:qFormat/>
    <w:rsid w:val="002A0434"/>
    <w:pPr>
      <w:keepNext/>
      <w:keepLines/>
      <w:spacing w:before="200" w:after="0"/>
      <w:outlineLvl w:val="4"/>
    </w:pPr>
    <w:rPr>
      <w:rFonts w:asciiTheme="majorHAnsi" w:eastAsiaTheme="majorEastAsia" w:hAnsiTheme="majorHAnsi" w:cstheme="majorBidi"/>
      <w:color w:val="2C38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5B"/>
    <w:rPr>
      <w:rFonts w:asciiTheme="majorHAnsi" w:eastAsiaTheme="majorEastAsia" w:hAnsiTheme="majorHAnsi" w:cstheme="majorBidi"/>
      <w:b/>
      <w:bCs/>
      <w:color w:val="FFFFFF" w:themeColor="background1"/>
      <w:sz w:val="28"/>
      <w:szCs w:val="28"/>
      <w:shd w:val="clear" w:color="auto" w:fill="63891F" w:themeFill="accent5"/>
    </w:rPr>
  </w:style>
  <w:style w:type="paragraph" w:styleId="TOCHeading">
    <w:name w:val="TOC Heading"/>
    <w:basedOn w:val="Heading1"/>
    <w:next w:val="Normal"/>
    <w:uiPriority w:val="39"/>
    <w:unhideWhenUsed/>
    <w:qFormat/>
    <w:rsid w:val="00FF3FCD"/>
    <w:pPr>
      <w:outlineLvl w:val="9"/>
    </w:pPr>
  </w:style>
  <w:style w:type="paragraph" w:styleId="BalloonText">
    <w:name w:val="Balloon Text"/>
    <w:basedOn w:val="Normal"/>
    <w:link w:val="BalloonTextChar"/>
    <w:uiPriority w:val="99"/>
    <w:semiHidden/>
    <w:unhideWhenUsed/>
    <w:rsid w:val="00FF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CD"/>
    <w:rPr>
      <w:rFonts w:ascii="Tahoma" w:hAnsi="Tahoma" w:cs="Tahoma"/>
      <w:sz w:val="16"/>
      <w:szCs w:val="16"/>
    </w:rPr>
  </w:style>
  <w:style w:type="paragraph" w:styleId="TOC1">
    <w:name w:val="toc 1"/>
    <w:basedOn w:val="Normal"/>
    <w:next w:val="Normal"/>
    <w:autoRedefine/>
    <w:uiPriority w:val="39"/>
    <w:unhideWhenUsed/>
    <w:rsid w:val="00FF3FCD"/>
    <w:pPr>
      <w:spacing w:after="100"/>
    </w:pPr>
  </w:style>
  <w:style w:type="character" w:styleId="Hyperlink">
    <w:name w:val="Hyperlink"/>
    <w:basedOn w:val="DefaultParagraphFont"/>
    <w:uiPriority w:val="99"/>
    <w:unhideWhenUsed/>
    <w:rsid w:val="00FF3FCD"/>
    <w:rPr>
      <w:color w:val="3399FF" w:themeColor="hyperlink"/>
      <w:u w:val="single"/>
    </w:rPr>
  </w:style>
  <w:style w:type="paragraph" w:styleId="TOC2">
    <w:name w:val="toc 2"/>
    <w:basedOn w:val="Normal"/>
    <w:next w:val="Normal"/>
    <w:autoRedefine/>
    <w:uiPriority w:val="39"/>
    <w:unhideWhenUsed/>
    <w:rsid w:val="00E61079"/>
    <w:pPr>
      <w:spacing w:before="200" w:after="100"/>
      <w:ind w:left="200"/>
    </w:pPr>
    <w:rPr>
      <w:sz w:val="20"/>
      <w:szCs w:val="20"/>
      <w:lang w:bidi="en-US"/>
    </w:rPr>
  </w:style>
  <w:style w:type="paragraph" w:styleId="FootnoteText">
    <w:name w:val="footnote text"/>
    <w:basedOn w:val="Normal"/>
    <w:link w:val="FootnoteTextChar"/>
    <w:uiPriority w:val="99"/>
    <w:semiHidden/>
    <w:unhideWhenUsed/>
    <w:rsid w:val="00CD3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56B"/>
    <w:rPr>
      <w:sz w:val="20"/>
      <w:szCs w:val="20"/>
    </w:rPr>
  </w:style>
  <w:style w:type="character" w:styleId="FootnoteReference">
    <w:name w:val="footnote reference"/>
    <w:basedOn w:val="DefaultParagraphFont"/>
    <w:uiPriority w:val="99"/>
    <w:semiHidden/>
    <w:unhideWhenUsed/>
    <w:rsid w:val="00CD356B"/>
    <w:rPr>
      <w:vertAlign w:val="superscript"/>
    </w:rPr>
  </w:style>
  <w:style w:type="paragraph" w:styleId="ListParagraph">
    <w:name w:val="List Paragraph"/>
    <w:basedOn w:val="Normal"/>
    <w:uiPriority w:val="34"/>
    <w:qFormat/>
    <w:rsid w:val="00D46ED5"/>
    <w:pPr>
      <w:ind w:left="720"/>
      <w:contextualSpacing/>
    </w:pPr>
  </w:style>
  <w:style w:type="character" w:styleId="FollowedHyperlink">
    <w:name w:val="FollowedHyperlink"/>
    <w:basedOn w:val="DefaultParagraphFont"/>
    <w:uiPriority w:val="99"/>
    <w:semiHidden/>
    <w:unhideWhenUsed/>
    <w:rsid w:val="009E3567"/>
    <w:rPr>
      <w:color w:val="B2B2B2" w:themeColor="followedHyperlink"/>
      <w:u w:val="single"/>
    </w:rPr>
  </w:style>
  <w:style w:type="character" w:customStyle="1" w:styleId="Heading2Char">
    <w:name w:val="Heading 2 Char"/>
    <w:basedOn w:val="DefaultParagraphFont"/>
    <w:link w:val="Heading2"/>
    <w:uiPriority w:val="9"/>
    <w:rsid w:val="00E51736"/>
    <w:rPr>
      <w:rFonts w:asciiTheme="majorHAnsi" w:eastAsiaTheme="majorEastAsia" w:hAnsiTheme="majorHAnsi" w:cstheme="majorBidi"/>
      <w:b/>
      <w:bCs/>
      <w:color w:val="846648" w:themeColor="accent4"/>
      <w:sz w:val="26"/>
      <w:szCs w:val="26"/>
    </w:rPr>
  </w:style>
  <w:style w:type="character" w:customStyle="1" w:styleId="Heading3Char">
    <w:name w:val="Heading 3 Char"/>
    <w:basedOn w:val="DefaultParagraphFont"/>
    <w:link w:val="Heading3"/>
    <w:uiPriority w:val="9"/>
    <w:rsid w:val="00D80EEC"/>
    <w:rPr>
      <w:rFonts w:asciiTheme="majorHAnsi" w:eastAsiaTheme="majorEastAsia" w:hAnsiTheme="majorHAnsi" w:cstheme="majorBidi"/>
      <w:b/>
      <w:bCs/>
      <w:color w:val="63891F" w:themeColor="accent5"/>
      <w:sz w:val="24"/>
    </w:rPr>
  </w:style>
  <w:style w:type="character" w:customStyle="1" w:styleId="Heading4Char">
    <w:name w:val="Heading 4 Char"/>
    <w:basedOn w:val="DefaultParagraphFont"/>
    <w:link w:val="Heading4"/>
    <w:uiPriority w:val="9"/>
    <w:rsid w:val="00D80EEC"/>
    <w:rPr>
      <w:rFonts w:asciiTheme="majorHAnsi" w:eastAsiaTheme="majorEastAsia" w:hAnsiTheme="majorHAnsi" w:cstheme="majorBidi"/>
      <w:b/>
      <w:bCs/>
      <w:i/>
      <w:iCs/>
      <w:color w:val="63891F" w:themeColor="accent5"/>
      <w:sz w:val="24"/>
    </w:rPr>
  </w:style>
  <w:style w:type="character" w:customStyle="1" w:styleId="Heading5Char">
    <w:name w:val="Heading 5 Char"/>
    <w:basedOn w:val="DefaultParagraphFont"/>
    <w:link w:val="Heading5"/>
    <w:uiPriority w:val="9"/>
    <w:rsid w:val="002A0434"/>
    <w:rPr>
      <w:rFonts w:asciiTheme="majorHAnsi" w:eastAsiaTheme="majorEastAsia" w:hAnsiTheme="majorHAnsi" w:cstheme="majorBidi"/>
      <w:color w:val="2C385D" w:themeColor="accent1" w:themeShade="7F"/>
    </w:rPr>
  </w:style>
  <w:style w:type="paragraph" w:styleId="TOC3">
    <w:name w:val="toc 3"/>
    <w:basedOn w:val="Normal"/>
    <w:next w:val="Normal"/>
    <w:autoRedefine/>
    <w:uiPriority w:val="39"/>
    <w:unhideWhenUsed/>
    <w:rsid w:val="00E0460F"/>
    <w:pPr>
      <w:spacing w:after="100"/>
      <w:ind w:left="440"/>
    </w:pPr>
  </w:style>
  <w:style w:type="character" w:styleId="Strong">
    <w:name w:val="Strong"/>
    <w:basedOn w:val="DefaultParagraphFont"/>
    <w:uiPriority w:val="22"/>
    <w:qFormat/>
    <w:rsid w:val="00186F65"/>
    <w:rPr>
      <w:b/>
      <w:bCs/>
    </w:rPr>
  </w:style>
  <w:style w:type="paragraph" w:styleId="Title">
    <w:name w:val="Title"/>
    <w:basedOn w:val="Normal"/>
    <w:next w:val="Normal"/>
    <w:link w:val="TitleChar"/>
    <w:uiPriority w:val="10"/>
    <w:qFormat/>
    <w:rsid w:val="009420EA"/>
    <w:pPr>
      <w:pBdr>
        <w:bottom w:val="single" w:sz="8" w:space="4" w:color="6076B4" w:themeColor="accent1"/>
      </w:pBdr>
      <w:spacing w:after="300" w:line="240" w:lineRule="auto"/>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9420EA"/>
    <w:rPr>
      <w:rFonts w:asciiTheme="majorHAnsi" w:eastAsiaTheme="majorEastAsia" w:hAnsiTheme="majorHAnsi" w:cstheme="majorBidi"/>
      <w:color w:val="234170" w:themeColor="text2" w:themeShade="BF"/>
      <w:spacing w:val="5"/>
      <w:kern w:val="28"/>
      <w:sz w:val="52"/>
      <w:szCs w:val="52"/>
    </w:rPr>
  </w:style>
  <w:style w:type="character" w:customStyle="1" w:styleId="apple-style-span">
    <w:name w:val="apple-style-span"/>
    <w:basedOn w:val="DefaultParagraphFont"/>
    <w:rsid w:val="009420EA"/>
  </w:style>
  <w:style w:type="character" w:customStyle="1" w:styleId="apple-converted-space">
    <w:name w:val="apple-converted-space"/>
    <w:basedOn w:val="DefaultParagraphFont"/>
    <w:rsid w:val="009420EA"/>
  </w:style>
  <w:style w:type="table" w:styleId="MediumShading1-Accent3">
    <w:name w:val="Medium Shading 1 Accent 3"/>
    <w:basedOn w:val="TableNormal"/>
    <w:uiPriority w:val="63"/>
    <w:rsid w:val="00B8453E"/>
    <w:pPr>
      <w:spacing w:after="0" w:line="240" w:lineRule="auto"/>
    </w:pPr>
    <w:tblPr>
      <w:tblStyleRowBandSize w:val="1"/>
      <w:tblStyleColBandSize w:val="1"/>
      <w:tblInd w:w="0" w:type="dxa"/>
      <w:tbl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single" w:sz="8" w:space="0" w:color="ECA25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shd w:val="clear" w:color="auto" w:fill="E68422" w:themeFill="accent3"/>
      </w:tcPr>
    </w:tblStylePr>
    <w:tblStylePr w:type="lastRow">
      <w:pPr>
        <w:spacing w:before="0" w:after="0" w:line="240" w:lineRule="auto"/>
      </w:pPr>
      <w:rPr>
        <w:b/>
        <w:bCs/>
      </w:rPr>
      <w:tblPr/>
      <w:tcPr>
        <w:tcBorders>
          <w:top w:val="double" w:sz="6"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0C8" w:themeFill="accent3" w:themeFillTint="3F"/>
      </w:tcPr>
    </w:tblStylePr>
    <w:tblStylePr w:type="band1Horz">
      <w:tblPr/>
      <w:tcPr>
        <w:tcBorders>
          <w:insideH w:val="nil"/>
          <w:insideV w:val="nil"/>
        </w:tcBorders>
        <w:shd w:val="clear" w:color="auto" w:fill="F8E0C8"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04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F1A"/>
  </w:style>
  <w:style w:type="paragraph" w:styleId="Footer">
    <w:name w:val="footer"/>
    <w:basedOn w:val="Normal"/>
    <w:link w:val="FooterChar"/>
    <w:uiPriority w:val="99"/>
    <w:unhideWhenUsed/>
    <w:rsid w:val="0004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F1A"/>
  </w:style>
  <w:style w:type="paragraph" w:styleId="NoSpacing">
    <w:name w:val="No Spacing"/>
    <w:link w:val="NoSpacingChar"/>
    <w:uiPriority w:val="1"/>
    <w:qFormat/>
    <w:rsid w:val="00366596"/>
    <w:pPr>
      <w:spacing w:after="0" w:line="240" w:lineRule="auto"/>
    </w:pPr>
    <w:rPr>
      <w:sz w:val="24"/>
    </w:rPr>
  </w:style>
  <w:style w:type="table" w:styleId="LightShading-Accent3">
    <w:name w:val="Light Shading Accent 3"/>
    <w:basedOn w:val="TableNormal"/>
    <w:uiPriority w:val="60"/>
    <w:rsid w:val="00366596"/>
    <w:pPr>
      <w:spacing w:after="0" w:line="240" w:lineRule="auto"/>
    </w:pPr>
    <w:rPr>
      <w:color w:val="B16214" w:themeColor="accent3" w:themeShade="BF"/>
    </w:rPr>
    <w:tblPr>
      <w:tblStyleRowBandSize w:val="1"/>
      <w:tblStyleColBandSize w:val="1"/>
      <w:tblInd w:w="0" w:type="dxa"/>
      <w:tblBorders>
        <w:top w:val="single" w:sz="8" w:space="0" w:color="E68422" w:themeColor="accent3"/>
        <w:bottom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la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0C8" w:themeFill="accent3" w:themeFillTint="3F"/>
      </w:tcPr>
    </w:tblStylePr>
    <w:tblStylePr w:type="band1Horz">
      <w:tblPr/>
      <w:tcPr>
        <w:tcBorders>
          <w:left w:val="nil"/>
          <w:right w:val="nil"/>
          <w:insideH w:val="nil"/>
          <w:insideV w:val="nil"/>
        </w:tcBorders>
        <w:shd w:val="clear" w:color="auto" w:fill="F8E0C8" w:themeFill="accent3" w:themeFillTint="3F"/>
      </w:tcPr>
    </w:tblStylePr>
  </w:style>
  <w:style w:type="table" w:styleId="LightList-Accent3">
    <w:name w:val="Light List Accent 3"/>
    <w:basedOn w:val="TableNormal"/>
    <w:uiPriority w:val="61"/>
    <w:rsid w:val="00366596"/>
    <w:pPr>
      <w:spacing w:after="0" w:line="240" w:lineRule="auto"/>
    </w:pPr>
    <w:tblPr>
      <w:tblStyleRowBandSize w:val="1"/>
      <w:tblStyleColBandSize w:val="1"/>
      <w:tblInd w:w="0" w:type="dxa"/>
      <w:tblBorders>
        <w:top w:val="single" w:sz="8" w:space="0" w:color="E68422" w:themeColor="accent3"/>
        <w:left w:val="single" w:sz="8" w:space="0" w:color="E68422" w:themeColor="accent3"/>
        <w:bottom w:val="single" w:sz="8" w:space="0" w:color="E68422" w:themeColor="accent3"/>
        <w:right w:val="single" w:sz="8" w:space="0" w:color="E68422"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8422" w:themeFill="accent3"/>
      </w:tcPr>
    </w:tblStylePr>
    <w:tblStylePr w:type="lastRow">
      <w:pPr>
        <w:spacing w:before="0" w:after="0" w:line="240" w:lineRule="auto"/>
      </w:pPr>
      <w:rPr>
        <w:b/>
        <w:bCs/>
      </w:rPr>
      <w:tblPr/>
      <w:tcPr>
        <w:tcBorders>
          <w:top w:val="double" w:sz="6" w:space="0" w:color="E68422" w:themeColor="accent3"/>
          <w:left w:val="single" w:sz="8" w:space="0" w:color="E68422" w:themeColor="accent3"/>
          <w:bottom w:val="single" w:sz="8" w:space="0" w:color="E68422" w:themeColor="accent3"/>
          <w:right w:val="single" w:sz="8" w:space="0" w:color="E68422" w:themeColor="accent3"/>
        </w:tcBorders>
      </w:tcPr>
    </w:tblStylePr>
    <w:tblStylePr w:type="firstCol">
      <w:rPr>
        <w:b/>
        <w:bCs/>
      </w:rPr>
    </w:tblStylePr>
    <w:tblStylePr w:type="lastCol">
      <w:rPr>
        <w:b/>
        <w:bCs/>
      </w:rPr>
    </w:tblStylePr>
    <w:tblStylePr w:type="band1Vert">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tblStylePr w:type="band1Horz">
      <w:tblPr/>
      <w:tcPr>
        <w:tcBorders>
          <w:top w:val="single" w:sz="8" w:space="0" w:color="E68422" w:themeColor="accent3"/>
          <w:left w:val="single" w:sz="8" w:space="0" w:color="E68422" w:themeColor="accent3"/>
          <w:bottom w:val="single" w:sz="8" w:space="0" w:color="E68422" w:themeColor="accent3"/>
          <w:right w:val="single" w:sz="8" w:space="0" w:color="E68422" w:themeColor="accent3"/>
        </w:tcBorders>
      </w:tcPr>
    </w:tblStylePr>
  </w:style>
  <w:style w:type="table" w:styleId="MediumShading1-Accent5">
    <w:name w:val="Medium Shading 1 Accent 5"/>
    <w:basedOn w:val="TableNormal"/>
    <w:uiPriority w:val="63"/>
    <w:rsid w:val="00E51736"/>
    <w:pPr>
      <w:spacing w:after="0" w:line="240" w:lineRule="auto"/>
    </w:pPr>
    <w:tblPr>
      <w:tblStyleRowBandSize w:val="1"/>
      <w:tblStyleColBandSize w:val="1"/>
      <w:tblInd w:w="0" w:type="dxa"/>
      <w:tbl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single" w:sz="8" w:space="0" w:color="95CE2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shd w:val="clear" w:color="auto" w:fill="63891F" w:themeFill="accent5"/>
      </w:tcPr>
    </w:tblStylePr>
    <w:tblStylePr w:type="lastRow">
      <w:pPr>
        <w:spacing w:before="0" w:after="0" w:line="240" w:lineRule="auto"/>
      </w:pPr>
      <w:rPr>
        <w:b/>
        <w:bCs/>
      </w:rPr>
      <w:tblPr/>
      <w:tcPr>
        <w:tcBorders>
          <w:top w:val="double" w:sz="6"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FB9" w:themeFill="accent5" w:themeFillTint="3F"/>
      </w:tcPr>
    </w:tblStylePr>
    <w:tblStylePr w:type="band1Horz">
      <w:tblPr/>
      <w:tcPr>
        <w:tcBorders>
          <w:insideH w:val="nil"/>
          <w:insideV w:val="nil"/>
        </w:tcBorders>
        <w:shd w:val="clear" w:color="auto" w:fill="DCEFB9"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51736"/>
    <w:pPr>
      <w:spacing w:after="0" w:line="240" w:lineRule="auto"/>
    </w:pPr>
    <w:tblPr>
      <w:tblStyleRowBandSize w:val="1"/>
      <w:tblStyleColBandSize w:val="1"/>
      <w:tblInd w:w="0" w:type="dxa"/>
      <w:tblBorders>
        <w:top w:val="single" w:sz="8" w:space="0" w:color="63891F" w:themeColor="accent5"/>
        <w:left w:val="single" w:sz="8" w:space="0" w:color="63891F" w:themeColor="accent5"/>
        <w:bottom w:val="single" w:sz="8" w:space="0" w:color="63891F" w:themeColor="accent5"/>
        <w:right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3891F" w:themeFill="accent5"/>
      </w:tcPr>
    </w:tblStylePr>
    <w:tblStylePr w:type="lastRow">
      <w:pPr>
        <w:spacing w:before="0" w:after="0" w:line="240" w:lineRule="auto"/>
      </w:pPr>
      <w:rPr>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tcBorders>
      </w:tcPr>
    </w:tblStylePr>
    <w:tblStylePr w:type="firstCol">
      <w:rPr>
        <w:b/>
        <w:bCs/>
      </w:rPr>
    </w:tblStylePr>
    <w:tblStylePr w:type="lastCol">
      <w:rPr>
        <w:b/>
        <w:bCs/>
      </w:r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style>
  <w:style w:type="character" w:customStyle="1" w:styleId="NoSpacingChar">
    <w:name w:val="No Spacing Char"/>
    <w:basedOn w:val="DefaultParagraphFont"/>
    <w:link w:val="NoSpacing"/>
    <w:uiPriority w:val="1"/>
    <w:rsid w:val="000B4D50"/>
    <w:rPr>
      <w:sz w:val="24"/>
    </w:rPr>
  </w:style>
  <w:style w:type="table" w:styleId="LightShading-Accent5">
    <w:name w:val="Light Shading Accent 5"/>
    <w:basedOn w:val="TableNormal"/>
    <w:uiPriority w:val="60"/>
    <w:rsid w:val="00D72AF2"/>
    <w:pPr>
      <w:spacing w:after="0" w:line="240" w:lineRule="auto"/>
    </w:pPr>
    <w:rPr>
      <w:color w:val="496617" w:themeColor="accent5" w:themeShade="BF"/>
    </w:rPr>
    <w:tblPr>
      <w:tblStyleRowBandSize w:val="1"/>
      <w:tblStyleColBandSize w:val="1"/>
      <w:tblInd w:w="0" w:type="dxa"/>
      <w:tblBorders>
        <w:top w:val="single" w:sz="8" w:space="0" w:color="63891F" w:themeColor="accent5"/>
        <w:bottom w:val="single" w:sz="8" w:space="0" w:color="63891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lastRow">
      <w:pPr>
        <w:spacing w:before="0" w:after="0" w:line="240" w:lineRule="auto"/>
      </w:pPr>
      <w:rPr>
        <w:b/>
        <w:bCs/>
      </w:rPr>
      <w:tblPr/>
      <w:tcPr>
        <w:tcBorders>
          <w:top w:val="single" w:sz="8" w:space="0" w:color="63891F" w:themeColor="accent5"/>
          <w:left w:val="nil"/>
          <w:bottom w:val="single" w:sz="8" w:space="0" w:color="63891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B9" w:themeFill="accent5" w:themeFillTint="3F"/>
      </w:tcPr>
    </w:tblStylePr>
    <w:tblStylePr w:type="band1Horz">
      <w:tblPr/>
      <w:tcPr>
        <w:tcBorders>
          <w:left w:val="nil"/>
          <w:right w:val="nil"/>
          <w:insideH w:val="nil"/>
          <w:insideV w:val="nil"/>
        </w:tcBorders>
        <w:shd w:val="clear" w:color="auto" w:fill="DCEFB9"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98238">
      <w:bodyDiv w:val="1"/>
      <w:marLeft w:val="0"/>
      <w:marRight w:val="0"/>
      <w:marTop w:val="0"/>
      <w:marBottom w:val="0"/>
      <w:divBdr>
        <w:top w:val="none" w:sz="0" w:space="0" w:color="auto"/>
        <w:left w:val="none" w:sz="0" w:space="0" w:color="auto"/>
        <w:bottom w:val="none" w:sz="0" w:space="0" w:color="auto"/>
        <w:right w:val="none" w:sz="0" w:space="0" w:color="auto"/>
      </w:divBdr>
    </w:div>
    <w:div w:id="18215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finance.yahoo.com/q/in?s=HRB" TargetMode="External"/><Relationship Id="rId26" Type="http://schemas.openxmlformats.org/officeDocument/2006/relationships/hyperlink" Target="http://finance.yahoo.com/q?s=HBR.L" TargetMode="External"/><Relationship Id="rId39" Type="http://schemas.openxmlformats.org/officeDocument/2006/relationships/hyperlink" Target="http://us.rd.yahoo.com/finance/industry/leaf/4/8c/*http:/biz.yahoo.com/ic/ll/762r1g.html" TargetMode="External"/><Relationship Id="rId21" Type="http://schemas.openxmlformats.org/officeDocument/2006/relationships/hyperlink" Target="http://biz.yahoo.com/ic/125/125980.html" TargetMode="External"/><Relationship Id="rId34" Type="http://schemas.openxmlformats.org/officeDocument/2006/relationships/hyperlink" Target="http://finance.yahoo.com/q/pr?s=ULTA" TargetMode="External"/><Relationship Id="rId42" Type="http://schemas.openxmlformats.org/officeDocument/2006/relationships/hyperlink" Target="http://finance.yahoo.com/q?s=CPP.L&amp;d=t" TargetMode="External"/><Relationship Id="rId47" Type="http://schemas.openxmlformats.org/officeDocument/2006/relationships/hyperlink" Target="http://biz.yahoo.com/ic/ll/762r1g.html" TargetMode="External"/><Relationship Id="rId50" Type="http://schemas.openxmlformats.org/officeDocument/2006/relationships/hyperlink" Target="http://finance.yahoo.com/q?s=GKSR&amp;d=t" TargetMode="External"/><Relationship Id="rId55" Type="http://schemas.openxmlformats.org/officeDocument/2006/relationships/hyperlink" Target="http://biz.yahoo.com/ic/ll/762tbe.html"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finance.yahoo.com/q?s=JTX" TargetMode="External"/><Relationship Id="rId25" Type="http://schemas.openxmlformats.org/officeDocument/2006/relationships/hyperlink" Target="http://finance.yahoo.com/q/pr?s=HBR.L" TargetMode="External"/><Relationship Id="rId33" Type="http://schemas.openxmlformats.org/officeDocument/2006/relationships/hyperlink" Target="http://finance.yahoo.com/q?s=WTW" TargetMode="External"/><Relationship Id="rId38" Type="http://schemas.openxmlformats.org/officeDocument/2006/relationships/hyperlink" Target="http://us.rd.yahoo.com/finance/industry/leaf/4/8b/*http:/biz.yahoo.com/ic/ll/762per.html" TargetMode="External"/><Relationship Id="rId46" Type="http://schemas.openxmlformats.org/officeDocument/2006/relationships/hyperlink" Target="http://finance.yahoo.com/q?s=IVC.AX&amp;d=t"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finance.yahoo.com/q?s=INTU" TargetMode="External"/><Relationship Id="rId20" Type="http://schemas.openxmlformats.org/officeDocument/2006/relationships/hyperlink" Target="http://finance.yahoo.com/q?s=JTX" TargetMode="External"/><Relationship Id="rId29" Type="http://schemas.openxmlformats.org/officeDocument/2006/relationships/image" Target="media/image2.gif"/><Relationship Id="rId41" Type="http://schemas.openxmlformats.org/officeDocument/2006/relationships/hyperlink" Target="http://biz.yahoo.com/ic/ll/762mkt.html" TargetMode="External"/><Relationship Id="rId54" Type="http://schemas.openxmlformats.org/officeDocument/2006/relationships/hyperlink" Target="http://finance.yahoo.com/q?s=CPY&amp;d=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image" Target="media/image1.gif"/><Relationship Id="rId32" Type="http://schemas.openxmlformats.org/officeDocument/2006/relationships/hyperlink" Target="http://finance.yahoo.com/q/pr?s=WTW" TargetMode="External"/><Relationship Id="rId37" Type="http://schemas.openxmlformats.org/officeDocument/2006/relationships/hyperlink" Target="http://us.rd.yahoo.com/finance/industry/leaf/4/8a/*http:/biz.yahoo.com/ic/ll/762pip.html" TargetMode="External"/><Relationship Id="rId40" Type="http://schemas.openxmlformats.org/officeDocument/2006/relationships/hyperlink" Target="http://us.rd.yahoo.com/finance/industry/leaf/4/8d/*http:/biz.yahoo.com/ic/ll/762yie.html" TargetMode="External"/><Relationship Id="rId45" Type="http://schemas.openxmlformats.org/officeDocument/2006/relationships/hyperlink" Target="http://biz.yahoo.com/ic/ll/762peg.html" TargetMode="External"/><Relationship Id="rId53" Type="http://schemas.openxmlformats.org/officeDocument/2006/relationships/hyperlink" Target="http://biz.yahoo.com/ic/ll/762roe.html" TargetMode="External"/><Relationship Id="rId58"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finance.yahoo.com/q?s=HRB" TargetMode="External"/><Relationship Id="rId23" Type="http://schemas.openxmlformats.org/officeDocument/2006/relationships/hyperlink" Target="http://finance.yahoo.com/q?s=CPP.L" TargetMode="External"/><Relationship Id="rId28" Type="http://schemas.openxmlformats.org/officeDocument/2006/relationships/hyperlink" Target="http://finance.yahoo.com/q?s=WU" TargetMode="External"/><Relationship Id="rId36" Type="http://schemas.openxmlformats.org/officeDocument/2006/relationships/hyperlink" Target="http://biz.yahoo.com/p/762mktd.html" TargetMode="External"/><Relationship Id="rId49" Type="http://schemas.openxmlformats.org/officeDocument/2006/relationships/hyperlink" Target="http://biz.yahoo.com/ic/ll/762e1g.html" TargetMode="External"/><Relationship Id="rId57" Type="http://schemas.openxmlformats.org/officeDocument/2006/relationships/hyperlink" Target="http://finance.yahoo.com/q?s=STON&amp;d=t" TargetMode="External"/><Relationship Id="rId10" Type="http://schemas.openxmlformats.org/officeDocument/2006/relationships/diagramData" Target="diagrams/data1.xml"/><Relationship Id="rId19" Type="http://schemas.openxmlformats.org/officeDocument/2006/relationships/hyperlink" Target="http://finance.yahoo.com/q?s=INTU" TargetMode="External"/><Relationship Id="rId31" Type="http://schemas.openxmlformats.org/officeDocument/2006/relationships/hyperlink" Target="http://finance.yahoo.com/q?s=HRB" TargetMode="External"/><Relationship Id="rId44" Type="http://schemas.openxmlformats.org/officeDocument/2006/relationships/hyperlink" Target="http://finance.yahoo.com/q?s=HBR.L&amp;d=t" TargetMode="External"/><Relationship Id="rId52" Type="http://schemas.openxmlformats.org/officeDocument/2006/relationships/hyperlink" Target="http://finance.yahoo.com/q?s=ULTA&amp;d=t"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finance.yahoo.com/q/pr?s=CPP.L" TargetMode="External"/><Relationship Id="rId27" Type="http://schemas.openxmlformats.org/officeDocument/2006/relationships/hyperlink" Target="http://finance.yahoo.com/q/pr?s=WU" TargetMode="External"/><Relationship Id="rId30" Type="http://schemas.openxmlformats.org/officeDocument/2006/relationships/hyperlink" Target="http://finance.yahoo.com/q/pr?s=HRB" TargetMode="External"/><Relationship Id="rId35" Type="http://schemas.openxmlformats.org/officeDocument/2006/relationships/hyperlink" Target="http://finance.yahoo.com/q?s=ULTA" TargetMode="External"/><Relationship Id="rId43" Type="http://schemas.openxmlformats.org/officeDocument/2006/relationships/hyperlink" Target="http://biz.yahoo.com/ic/ll/762per.html" TargetMode="External"/><Relationship Id="rId48" Type="http://schemas.openxmlformats.org/officeDocument/2006/relationships/hyperlink" Target="http://finance.yahoo.com/q?s=JAINSTUD.BO&amp;d=t" TargetMode="External"/><Relationship Id="rId56" Type="http://schemas.openxmlformats.org/officeDocument/2006/relationships/hyperlink" Target="http://biz.yahoo.com/ic/ll/762yie.html" TargetMode="External"/><Relationship Id="rId8" Type="http://schemas.openxmlformats.org/officeDocument/2006/relationships/footnotes" Target="footnotes.xml"/><Relationship Id="rId51" Type="http://schemas.openxmlformats.org/officeDocument/2006/relationships/hyperlink" Target="http://biz.yahoo.com/ic/ll/762g5r.html"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taxpro.hrblock.com/taxproConsumerWebApp/consumer/getNewLocationSearch.do?requestInfo=true&amp;soi=null&amp;campaignId=null" TargetMode="External"/><Relationship Id="rId2" Type="http://schemas.openxmlformats.org/officeDocument/2006/relationships/hyperlink" Target="https://careers-hrblock.icims.com/jobs/4099/job" TargetMode="External"/><Relationship Id="rId1" Type="http://schemas.openxmlformats.org/officeDocument/2006/relationships/hyperlink" Target="https://careers-hrblock.icims.com/jobs/4074/jo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4F944E-515D-4107-8180-17F62CB8F9E2}"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n-US"/>
        </a:p>
      </dgm:t>
    </dgm:pt>
    <dgm:pt modelId="{6B389A7B-229E-4987-B798-B53A33813D0E}">
      <dgm:prSet phldrT="[Text]"/>
      <dgm:spPr/>
      <dgm:t>
        <a:bodyPr/>
        <a:lstStyle/>
        <a:p>
          <a:r>
            <a:rPr lang="en-US"/>
            <a:t>Radio</a:t>
          </a:r>
        </a:p>
      </dgm:t>
    </dgm:pt>
    <dgm:pt modelId="{C1C55CAD-878A-46FA-BEA4-893CE66775B0}" type="parTrans" cxnId="{500342C1-68BA-44F3-AD4C-6D6C8456CB78}">
      <dgm:prSet/>
      <dgm:spPr/>
      <dgm:t>
        <a:bodyPr/>
        <a:lstStyle/>
        <a:p>
          <a:endParaRPr lang="en-US"/>
        </a:p>
      </dgm:t>
    </dgm:pt>
    <dgm:pt modelId="{BFFAC27F-799B-4567-83B0-554AC2FE8082}" type="sibTrans" cxnId="{500342C1-68BA-44F3-AD4C-6D6C8456CB78}">
      <dgm:prSet/>
      <dgm:spPr/>
      <dgm:t>
        <a:bodyPr/>
        <a:lstStyle/>
        <a:p>
          <a:endParaRPr lang="en-US"/>
        </a:p>
      </dgm:t>
    </dgm:pt>
    <dgm:pt modelId="{1C3853A1-9D63-44E1-8474-5867652FD8D9}">
      <dgm:prSet phldrT="[Text]"/>
      <dgm:spPr/>
      <dgm:t>
        <a:bodyPr/>
        <a:lstStyle/>
        <a:p>
          <a:r>
            <a:rPr lang="en-US"/>
            <a:t>Entravision</a:t>
          </a:r>
        </a:p>
      </dgm:t>
    </dgm:pt>
    <dgm:pt modelId="{B01DB204-D280-4642-A329-8F3B2C5721B8}" type="parTrans" cxnId="{E25CFCC6-846B-474C-AA1C-7062EEE42EC9}">
      <dgm:prSet/>
      <dgm:spPr/>
      <dgm:t>
        <a:bodyPr/>
        <a:lstStyle/>
        <a:p>
          <a:endParaRPr lang="en-US"/>
        </a:p>
      </dgm:t>
    </dgm:pt>
    <dgm:pt modelId="{09162D6F-6462-4C91-A7DA-1D87E9574076}" type="sibTrans" cxnId="{E25CFCC6-846B-474C-AA1C-7062EEE42EC9}">
      <dgm:prSet/>
      <dgm:spPr/>
      <dgm:t>
        <a:bodyPr/>
        <a:lstStyle/>
        <a:p>
          <a:endParaRPr lang="en-US"/>
        </a:p>
      </dgm:t>
    </dgm:pt>
    <dgm:pt modelId="{25FDD27A-DC6F-4833-9B33-F2AD05BEEF9E}">
      <dgm:prSet phldrT="[Text]"/>
      <dgm:spPr/>
      <dgm:t>
        <a:bodyPr/>
        <a:lstStyle/>
        <a:p>
          <a:r>
            <a:rPr lang="en-US"/>
            <a:t>Cable TV</a:t>
          </a:r>
        </a:p>
      </dgm:t>
    </dgm:pt>
    <dgm:pt modelId="{80741A71-1E83-4C24-94BC-34EF3EE49646}" type="parTrans" cxnId="{35990AA2-E4AE-42E9-8AB2-C73BC1E5E3E5}">
      <dgm:prSet/>
      <dgm:spPr/>
      <dgm:t>
        <a:bodyPr/>
        <a:lstStyle/>
        <a:p>
          <a:endParaRPr lang="en-US"/>
        </a:p>
      </dgm:t>
    </dgm:pt>
    <dgm:pt modelId="{221CB37A-6125-4B5C-B6AC-3D4294183A47}" type="sibTrans" cxnId="{35990AA2-E4AE-42E9-8AB2-C73BC1E5E3E5}">
      <dgm:prSet/>
      <dgm:spPr/>
      <dgm:t>
        <a:bodyPr/>
        <a:lstStyle/>
        <a:p>
          <a:endParaRPr lang="en-US"/>
        </a:p>
      </dgm:t>
    </dgm:pt>
    <dgm:pt modelId="{63F7CAAA-E39F-4CB2-ACB5-7F6A0E791D0F}">
      <dgm:prSet phldrT="[Text]"/>
      <dgm:spPr/>
      <dgm:t>
        <a:bodyPr/>
        <a:lstStyle/>
        <a:p>
          <a:r>
            <a:rPr lang="en-US"/>
            <a:t>Univision</a:t>
          </a:r>
        </a:p>
      </dgm:t>
    </dgm:pt>
    <dgm:pt modelId="{BE83C627-E326-41D3-B8E8-BFA944A3473E}" type="parTrans" cxnId="{A19F8CF5-1C3A-485F-8624-E7D6D76A5F34}">
      <dgm:prSet/>
      <dgm:spPr/>
      <dgm:t>
        <a:bodyPr/>
        <a:lstStyle/>
        <a:p>
          <a:endParaRPr lang="en-US"/>
        </a:p>
      </dgm:t>
    </dgm:pt>
    <dgm:pt modelId="{FACA8F27-7C3A-4F02-84B3-8C648637D00A}" type="sibTrans" cxnId="{A19F8CF5-1C3A-485F-8624-E7D6D76A5F34}">
      <dgm:prSet/>
      <dgm:spPr/>
      <dgm:t>
        <a:bodyPr/>
        <a:lstStyle/>
        <a:p>
          <a:endParaRPr lang="en-US"/>
        </a:p>
      </dgm:t>
    </dgm:pt>
    <dgm:pt modelId="{E3B4E291-9BB0-4AB3-B02C-4D62C2341449}">
      <dgm:prSet phldrT="[Text]"/>
      <dgm:spPr/>
      <dgm:t>
        <a:bodyPr/>
        <a:lstStyle/>
        <a:p>
          <a:r>
            <a:rPr lang="en-US"/>
            <a:t>Broadcast TV</a:t>
          </a:r>
        </a:p>
      </dgm:t>
    </dgm:pt>
    <dgm:pt modelId="{5CC49ED7-C8E6-4315-9C22-CA8430690DDA}" type="parTrans" cxnId="{E10EC2C8-792B-4D0E-AAFC-FCA959FCE4CB}">
      <dgm:prSet/>
      <dgm:spPr/>
      <dgm:t>
        <a:bodyPr/>
        <a:lstStyle/>
        <a:p>
          <a:endParaRPr lang="en-US"/>
        </a:p>
      </dgm:t>
    </dgm:pt>
    <dgm:pt modelId="{B0ED6B12-7CE4-4799-A292-0CA842465D9E}" type="sibTrans" cxnId="{E10EC2C8-792B-4D0E-AAFC-FCA959FCE4CB}">
      <dgm:prSet/>
      <dgm:spPr/>
      <dgm:t>
        <a:bodyPr/>
        <a:lstStyle/>
        <a:p>
          <a:endParaRPr lang="en-US"/>
        </a:p>
      </dgm:t>
    </dgm:pt>
    <dgm:pt modelId="{D7DF891F-7E04-4775-B886-A868F3CBD6FE}">
      <dgm:prSet phldrT="[Text]"/>
      <dgm:spPr/>
      <dgm:t>
        <a:bodyPr/>
        <a:lstStyle/>
        <a:p>
          <a:r>
            <a:rPr lang="en-US"/>
            <a:t>Telefutura</a:t>
          </a:r>
        </a:p>
      </dgm:t>
    </dgm:pt>
    <dgm:pt modelId="{85C8BED5-6ADE-4E2A-9533-43C2078F13D0}" type="parTrans" cxnId="{F85232EF-F7B2-4D5C-8CB3-31B6BCF7E9A4}">
      <dgm:prSet/>
      <dgm:spPr/>
      <dgm:t>
        <a:bodyPr/>
        <a:lstStyle/>
        <a:p>
          <a:endParaRPr lang="en-US"/>
        </a:p>
      </dgm:t>
    </dgm:pt>
    <dgm:pt modelId="{6C813FA6-857D-4C68-875F-CC36C04807F3}" type="sibTrans" cxnId="{F85232EF-F7B2-4D5C-8CB3-31B6BCF7E9A4}">
      <dgm:prSet/>
      <dgm:spPr/>
      <dgm:t>
        <a:bodyPr/>
        <a:lstStyle/>
        <a:p>
          <a:endParaRPr lang="en-US"/>
        </a:p>
      </dgm:t>
    </dgm:pt>
    <dgm:pt modelId="{F2EAE468-AF0C-42D5-9BD8-3C74D7575F39}" type="pres">
      <dgm:prSet presAssocID="{B94F944E-515D-4107-8180-17F62CB8F9E2}" presName="list" presStyleCnt="0">
        <dgm:presLayoutVars>
          <dgm:dir/>
          <dgm:animLvl val="lvl"/>
        </dgm:presLayoutVars>
      </dgm:prSet>
      <dgm:spPr/>
      <dgm:t>
        <a:bodyPr/>
        <a:lstStyle/>
        <a:p>
          <a:endParaRPr lang="en-US"/>
        </a:p>
      </dgm:t>
    </dgm:pt>
    <dgm:pt modelId="{59BD8C53-4D20-49F9-9DDE-F96C2D0DEF1E}" type="pres">
      <dgm:prSet presAssocID="{6B389A7B-229E-4987-B798-B53A33813D0E}" presName="posSpace" presStyleCnt="0"/>
      <dgm:spPr/>
    </dgm:pt>
    <dgm:pt modelId="{3EF85C7D-1856-49F0-B63C-BF4CD9C429C2}" type="pres">
      <dgm:prSet presAssocID="{6B389A7B-229E-4987-B798-B53A33813D0E}" presName="vertFlow" presStyleCnt="0"/>
      <dgm:spPr/>
    </dgm:pt>
    <dgm:pt modelId="{9B294130-E3A1-4339-8738-DE7DE24B6496}" type="pres">
      <dgm:prSet presAssocID="{6B389A7B-229E-4987-B798-B53A33813D0E}" presName="topSpace" presStyleCnt="0"/>
      <dgm:spPr/>
    </dgm:pt>
    <dgm:pt modelId="{D736559C-85BD-43B8-89F0-55E530A39A12}" type="pres">
      <dgm:prSet presAssocID="{6B389A7B-229E-4987-B798-B53A33813D0E}" presName="firstComp" presStyleCnt="0"/>
      <dgm:spPr/>
    </dgm:pt>
    <dgm:pt modelId="{2BBA380B-95EF-4DDC-8971-8942EA2D061C}" type="pres">
      <dgm:prSet presAssocID="{6B389A7B-229E-4987-B798-B53A33813D0E}" presName="firstChild" presStyleLbl="bgAccFollowNode1" presStyleIdx="0" presStyleCnt="3"/>
      <dgm:spPr/>
      <dgm:t>
        <a:bodyPr/>
        <a:lstStyle/>
        <a:p>
          <a:endParaRPr lang="en-US"/>
        </a:p>
      </dgm:t>
    </dgm:pt>
    <dgm:pt modelId="{94FA914F-5749-4FB7-9155-2A4C409CD53A}" type="pres">
      <dgm:prSet presAssocID="{6B389A7B-229E-4987-B798-B53A33813D0E}" presName="firstChildTx" presStyleLbl="bgAccFollowNode1" presStyleIdx="0" presStyleCnt="3">
        <dgm:presLayoutVars>
          <dgm:bulletEnabled val="1"/>
        </dgm:presLayoutVars>
      </dgm:prSet>
      <dgm:spPr/>
      <dgm:t>
        <a:bodyPr/>
        <a:lstStyle/>
        <a:p>
          <a:endParaRPr lang="en-US"/>
        </a:p>
      </dgm:t>
    </dgm:pt>
    <dgm:pt modelId="{BD8081E9-C894-4ADB-BF4B-E8C0EC740C9A}" type="pres">
      <dgm:prSet presAssocID="{6B389A7B-229E-4987-B798-B53A33813D0E}" presName="negSpace" presStyleCnt="0"/>
      <dgm:spPr/>
    </dgm:pt>
    <dgm:pt modelId="{95720DFD-29F9-4679-A152-D579E9BD7402}" type="pres">
      <dgm:prSet presAssocID="{6B389A7B-229E-4987-B798-B53A33813D0E}" presName="circle" presStyleLbl="node1" presStyleIdx="0" presStyleCnt="3"/>
      <dgm:spPr/>
      <dgm:t>
        <a:bodyPr/>
        <a:lstStyle/>
        <a:p>
          <a:endParaRPr lang="en-US"/>
        </a:p>
      </dgm:t>
    </dgm:pt>
    <dgm:pt modelId="{3F7F66B6-7222-4A2F-AA8F-8A7A8D0CFFDB}" type="pres">
      <dgm:prSet presAssocID="{BFFAC27F-799B-4567-83B0-554AC2FE8082}" presName="transSpace" presStyleCnt="0"/>
      <dgm:spPr/>
    </dgm:pt>
    <dgm:pt modelId="{E5487495-6701-499F-B5B0-8742CE2F39CD}" type="pres">
      <dgm:prSet presAssocID="{25FDD27A-DC6F-4833-9B33-F2AD05BEEF9E}" presName="posSpace" presStyleCnt="0"/>
      <dgm:spPr/>
    </dgm:pt>
    <dgm:pt modelId="{62A48429-E8A1-4884-BDE1-F9184A41FB73}" type="pres">
      <dgm:prSet presAssocID="{25FDD27A-DC6F-4833-9B33-F2AD05BEEF9E}" presName="vertFlow" presStyleCnt="0"/>
      <dgm:spPr/>
    </dgm:pt>
    <dgm:pt modelId="{02EC50F3-5F74-46E2-827A-C31B5141202A}" type="pres">
      <dgm:prSet presAssocID="{25FDD27A-DC6F-4833-9B33-F2AD05BEEF9E}" presName="topSpace" presStyleCnt="0"/>
      <dgm:spPr/>
    </dgm:pt>
    <dgm:pt modelId="{71523593-218C-4B62-B8E4-4FC82B9ABD31}" type="pres">
      <dgm:prSet presAssocID="{25FDD27A-DC6F-4833-9B33-F2AD05BEEF9E}" presName="firstComp" presStyleCnt="0"/>
      <dgm:spPr/>
    </dgm:pt>
    <dgm:pt modelId="{E3CD7D85-0AEA-45C5-A27D-838EB252875F}" type="pres">
      <dgm:prSet presAssocID="{25FDD27A-DC6F-4833-9B33-F2AD05BEEF9E}" presName="firstChild" presStyleLbl="bgAccFollowNode1" presStyleIdx="1" presStyleCnt="3"/>
      <dgm:spPr/>
      <dgm:t>
        <a:bodyPr/>
        <a:lstStyle/>
        <a:p>
          <a:endParaRPr lang="en-US"/>
        </a:p>
      </dgm:t>
    </dgm:pt>
    <dgm:pt modelId="{75B1E16D-6D7E-4B4C-9511-E469EE78A79C}" type="pres">
      <dgm:prSet presAssocID="{25FDD27A-DC6F-4833-9B33-F2AD05BEEF9E}" presName="firstChildTx" presStyleLbl="bgAccFollowNode1" presStyleIdx="1" presStyleCnt="3">
        <dgm:presLayoutVars>
          <dgm:bulletEnabled val="1"/>
        </dgm:presLayoutVars>
      </dgm:prSet>
      <dgm:spPr/>
      <dgm:t>
        <a:bodyPr/>
        <a:lstStyle/>
        <a:p>
          <a:endParaRPr lang="en-US"/>
        </a:p>
      </dgm:t>
    </dgm:pt>
    <dgm:pt modelId="{34EB4074-5E0F-4CF8-8AE9-C09E59EB9355}" type="pres">
      <dgm:prSet presAssocID="{25FDD27A-DC6F-4833-9B33-F2AD05BEEF9E}" presName="negSpace" presStyleCnt="0"/>
      <dgm:spPr/>
    </dgm:pt>
    <dgm:pt modelId="{7962D196-30BD-4CBB-B14D-15155CDD9764}" type="pres">
      <dgm:prSet presAssocID="{25FDD27A-DC6F-4833-9B33-F2AD05BEEF9E}" presName="circle" presStyleLbl="node1" presStyleIdx="1" presStyleCnt="3"/>
      <dgm:spPr/>
      <dgm:t>
        <a:bodyPr/>
        <a:lstStyle/>
        <a:p>
          <a:endParaRPr lang="en-US"/>
        </a:p>
      </dgm:t>
    </dgm:pt>
    <dgm:pt modelId="{E44B3978-77EB-4B94-960B-32C1BAF2E71E}" type="pres">
      <dgm:prSet presAssocID="{221CB37A-6125-4B5C-B6AC-3D4294183A47}" presName="transSpace" presStyleCnt="0"/>
      <dgm:spPr/>
    </dgm:pt>
    <dgm:pt modelId="{F0F5D577-B88C-45CC-A790-4F346C7D0344}" type="pres">
      <dgm:prSet presAssocID="{E3B4E291-9BB0-4AB3-B02C-4D62C2341449}" presName="posSpace" presStyleCnt="0"/>
      <dgm:spPr/>
    </dgm:pt>
    <dgm:pt modelId="{A12A98B5-07B3-4C79-AB82-5AAE3B2386C1}" type="pres">
      <dgm:prSet presAssocID="{E3B4E291-9BB0-4AB3-B02C-4D62C2341449}" presName="vertFlow" presStyleCnt="0"/>
      <dgm:spPr/>
    </dgm:pt>
    <dgm:pt modelId="{20DBC4C7-1101-4F59-8AF0-8D4FEA459111}" type="pres">
      <dgm:prSet presAssocID="{E3B4E291-9BB0-4AB3-B02C-4D62C2341449}" presName="topSpace" presStyleCnt="0"/>
      <dgm:spPr/>
    </dgm:pt>
    <dgm:pt modelId="{479C5DBF-B325-445A-B805-486604C6FCA3}" type="pres">
      <dgm:prSet presAssocID="{E3B4E291-9BB0-4AB3-B02C-4D62C2341449}" presName="firstComp" presStyleCnt="0"/>
      <dgm:spPr/>
    </dgm:pt>
    <dgm:pt modelId="{2DD691BC-684D-4EE0-A223-BF45DAC3B5B0}" type="pres">
      <dgm:prSet presAssocID="{E3B4E291-9BB0-4AB3-B02C-4D62C2341449}" presName="firstChild" presStyleLbl="bgAccFollowNode1" presStyleIdx="2" presStyleCnt="3"/>
      <dgm:spPr/>
      <dgm:t>
        <a:bodyPr/>
        <a:lstStyle/>
        <a:p>
          <a:endParaRPr lang="en-US"/>
        </a:p>
      </dgm:t>
    </dgm:pt>
    <dgm:pt modelId="{31162878-81B8-42CB-8999-E3B72B8CC4E0}" type="pres">
      <dgm:prSet presAssocID="{E3B4E291-9BB0-4AB3-B02C-4D62C2341449}" presName="firstChildTx" presStyleLbl="bgAccFollowNode1" presStyleIdx="2" presStyleCnt="3">
        <dgm:presLayoutVars>
          <dgm:bulletEnabled val="1"/>
        </dgm:presLayoutVars>
      </dgm:prSet>
      <dgm:spPr/>
      <dgm:t>
        <a:bodyPr/>
        <a:lstStyle/>
        <a:p>
          <a:endParaRPr lang="en-US"/>
        </a:p>
      </dgm:t>
    </dgm:pt>
    <dgm:pt modelId="{F607BE00-C0D9-4EDD-AE10-F00C9613D7BA}" type="pres">
      <dgm:prSet presAssocID="{E3B4E291-9BB0-4AB3-B02C-4D62C2341449}" presName="negSpace" presStyleCnt="0"/>
      <dgm:spPr/>
    </dgm:pt>
    <dgm:pt modelId="{F9B17DAB-2823-42E5-AE0B-657DB4C623BD}" type="pres">
      <dgm:prSet presAssocID="{E3B4E291-9BB0-4AB3-B02C-4D62C2341449}" presName="circle" presStyleLbl="node1" presStyleIdx="2" presStyleCnt="3"/>
      <dgm:spPr/>
      <dgm:t>
        <a:bodyPr/>
        <a:lstStyle/>
        <a:p>
          <a:endParaRPr lang="en-US"/>
        </a:p>
      </dgm:t>
    </dgm:pt>
  </dgm:ptLst>
  <dgm:cxnLst>
    <dgm:cxn modelId="{A19F8CF5-1C3A-485F-8624-E7D6D76A5F34}" srcId="{25FDD27A-DC6F-4833-9B33-F2AD05BEEF9E}" destId="{63F7CAAA-E39F-4CB2-ACB5-7F6A0E791D0F}" srcOrd="0" destOrd="0" parTransId="{BE83C627-E326-41D3-B8E8-BFA944A3473E}" sibTransId="{FACA8F27-7C3A-4F02-84B3-8C648637D00A}"/>
    <dgm:cxn modelId="{E10EC2C8-792B-4D0E-AAFC-FCA959FCE4CB}" srcId="{B94F944E-515D-4107-8180-17F62CB8F9E2}" destId="{E3B4E291-9BB0-4AB3-B02C-4D62C2341449}" srcOrd="2" destOrd="0" parTransId="{5CC49ED7-C8E6-4315-9C22-CA8430690DDA}" sibTransId="{B0ED6B12-7CE4-4799-A292-0CA842465D9E}"/>
    <dgm:cxn modelId="{66819A64-52DF-4604-B440-DC68A29F3A5F}" type="presOf" srcId="{6B389A7B-229E-4987-B798-B53A33813D0E}" destId="{95720DFD-29F9-4679-A152-D579E9BD7402}" srcOrd="0" destOrd="0" presId="urn:microsoft.com/office/officeart/2005/8/layout/hList9"/>
    <dgm:cxn modelId="{020F91D7-9F24-4F26-B6D0-B0EF51D3D001}" type="presOf" srcId="{1C3853A1-9D63-44E1-8474-5867652FD8D9}" destId="{2BBA380B-95EF-4DDC-8971-8942EA2D061C}" srcOrd="0" destOrd="0" presId="urn:microsoft.com/office/officeart/2005/8/layout/hList9"/>
    <dgm:cxn modelId="{71B152CC-B32D-4105-87F1-000AA996ABB2}" type="presOf" srcId="{E3B4E291-9BB0-4AB3-B02C-4D62C2341449}" destId="{F9B17DAB-2823-42E5-AE0B-657DB4C623BD}" srcOrd="0" destOrd="0" presId="urn:microsoft.com/office/officeart/2005/8/layout/hList9"/>
    <dgm:cxn modelId="{E25CFCC6-846B-474C-AA1C-7062EEE42EC9}" srcId="{6B389A7B-229E-4987-B798-B53A33813D0E}" destId="{1C3853A1-9D63-44E1-8474-5867652FD8D9}" srcOrd="0" destOrd="0" parTransId="{B01DB204-D280-4642-A329-8F3B2C5721B8}" sibTransId="{09162D6F-6462-4C91-A7DA-1D87E9574076}"/>
    <dgm:cxn modelId="{E2596936-F8E6-4D34-AFFE-956301717DA8}" type="presOf" srcId="{25FDD27A-DC6F-4833-9B33-F2AD05BEEF9E}" destId="{7962D196-30BD-4CBB-B14D-15155CDD9764}" srcOrd="0" destOrd="0" presId="urn:microsoft.com/office/officeart/2005/8/layout/hList9"/>
    <dgm:cxn modelId="{CA8B63FC-4C97-43E0-AD79-29A7EDCFFF3B}" type="presOf" srcId="{D7DF891F-7E04-4775-B886-A868F3CBD6FE}" destId="{2DD691BC-684D-4EE0-A223-BF45DAC3B5B0}" srcOrd="0" destOrd="0" presId="urn:microsoft.com/office/officeart/2005/8/layout/hList9"/>
    <dgm:cxn modelId="{35990AA2-E4AE-42E9-8AB2-C73BC1E5E3E5}" srcId="{B94F944E-515D-4107-8180-17F62CB8F9E2}" destId="{25FDD27A-DC6F-4833-9B33-F2AD05BEEF9E}" srcOrd="1" destOrd="0" parTransId="{80741A71-1E83-4C24-94BC-34EF3EE49646}" sibTransId="{221CB37A-6125-4B5C-B6AC-3D4294183A47}"/>
    <dgm:cxn modelId="{017FE448-2CCD-4BB5-8278-4A1CEF94D1C2}" type="presOf" srcId="{B94F944E-515D-4107-8180-17F62CB8F9E2}" destId="{F2EAE468-AF0C-42D5-9BD8-3C74D7575F39}" srcOrd="0" destOrd="0" presId="urn:microsoft.com/office/officeart/2005/8/layout/hList9"/>
    <dgm:cxn modelId="{082928B7-C046-4CCE-A14E-6E14D5F946BC}" type="presOf" srcId="{1C3853A1-9D63-44E1-8474-5867652FD8D9}" destId="{94FA914F-5749-4FB7-9155-2A4C409CD53A}" srcOrd="1" destOrd="0" presId="urn:microsoft.com/office/officeart/2005/8/layout/hList9"/>
    <dgm:cxn modelId="{F85232EF-F7B2-4D5C-8CB3-31B6BCF7E9A4}" srcId="{E3B4E291-9BB0-4AB3-B02C-4D62C2341449}" destId="{D7DF891F-7E04-4775-B886-A868F3CBD6FE}" srcOrd="0" destOrd="0" parTransId="{85C8BED5-6ADE-4E2A-9533-43C2078F13D0}" sibTransId="{6C813FA6-857D-4C68-875F-CC36C04807F3}"/>
    <dgm:cxn modelId="{A3CE89B8-D899-4917-B717-8CDC74A017DA}" type="presOf" srcId="{D7DF891F-7E04-4775-B886-A868F3CBD6FE}" destId="{31162878-81B8-42CB-8999-E3B72B8CC4E0}" srcOrd="1" destOrd="0" presId="urn:microsoft.com/office/officeart/2005/8/layout/hList9"/>
    <dgm:cxn modelId="{70CDC778-DC4F-479C-AB29-CBE927ADF835}" type="presOf" srcId="{63F7CAAA-E39F-4CB2-ACB5-7F6A0E791D0F}" destId="{E3CD7D85-0AEA-45C5-A27D-838EB252875F}" srcOrd="0" destOrd="0" presId="urn:microsoft.com/office/officeart/2005/8/layout/hList9"/>
    <dgm:cxn modelId="{500342C1-68BA-44F3-AD4C-6D6C8456CB78}" srcId="{B94F944E-515D-4107-8180-17F62CB8F9E2}" destId="{6B389A7B-229E-4987-B798-B53A33813D0E}" srcOrd="0" destOrd="0" parTransId="{C1C55CAD-878A-46FA-BEA4-893CE66775B0}" sibTransId="{BFFAC27F-799B-4567-83B0-554AC2FE8082}"/>
    <dgm:cxn modelId="{E80D3461-98F3-4DA5-A7DA-DD84F7210FAD}" type="presOf" srcId="{63F7CAAA-E39F-4CB2-ACB5-7F6A0E791D0F}" destId="{75B1E16D-6D7E-4B4C-9511-E469EE78A79C}" srcOrd="1" destOrd="0" presId="urn:microsoft.com/office/officeart/2005/8/layout/hList9"/>
    <dgm:cxn modelId="{E727D660-0C28-4D3E-8CF7-68B276E01127}" type="presParOf" srcId="{F2EAE468-AF0C-42D5-9BD8-3C74D7575F39}" destId="{59BD8C53-4D20-49F9-9DDE-F96C2D0DEF1E}" srcOrd="0" destOrd="0" presId="urn:microsoft.com/office/officeart/2005/8/layout/hList9"/>
    <dgm:cxn modelId="{018E51C9-E7EB-49FE-8342-494224F712E8}" type="presParOf" srcId="{F2EAE468-AF0C-42D5-9BD8-3C74D7575F39}" destId="{3EF85C7D-1856-49F0-B63C-BF4CD9C429C2}" srcOrd="1" destOrd="0" presId="urn:microsoft.com/office/officeart/2005/8/layout/hList9"/>
    <dgm:cxn modelId="{28C9758B-585B-4BCE-9E80-73F7068C9844}" type="presParOf" srcId="{3EF85C7D-1856-49F0-B63C-BF4CD9C429C2}" destId="{9B294130-E3A1-4339-8738-DE7DE24B6496}" srcOrd="0" destOrd="0" presId="urn:microsoft.com/office/officeart/2005/8/layout/hList9"/>
    <dgm:cxn modelId="{F3F3D27B-3752-4B35-AB8A-FC2432452341}" type="presParOf" srcId="{3EF85C7D-1856-49F0-B63C-BF4CD9C429C2}" destId="{D736559C-85BD-43B8-89F0-55E530A39A12}" srcOrd="1" destOrd="0" presId="urn:microsoft.com/office/officeart/2005/8/layout/hList9"/>
    <dgm:cxn modelId="{3877052A-2C53-42C1-B73A-696D65510EA4}" type="presParOf" srcId="{D736559C-85BD-43B8-89F0-55E530A39A12}" destId="{2BBA380B-95EF-4DDC-8971-8942EA2D061C}" srcOrd="0" destOrd="0" presId="urn:microsoft.com/office/officeart/2005/8/layout/hList9"/>
    <dgm:cxn modelId="{5F6D8252-6F2B-40EF-BB96-DBB70A5E3C9E}" type="presParOf" srcId="{D736559C-85BD-43B8-89F0-55E530A39A12}" destId="{94FA914F-5749-4FB7-9155-2A4C409CD53A}" srcOrd="1" destOrd="0" presId="urn:microsoft.com/office/officeart/2005/8/layout/hList9"/>
    <dgm:cxn modelId="{6ECDD2DD-DDFF-4285-8D7A-BE9EF9438A59}" type="presParOf" srcId="{F2EAE468-AF0C-42D5-9BD8-3C74D7575F39}" destId="{BD8081E9-C894-4ADB-BF4B-E8C0EC740C9A}" srcOrd="2" destOrd="0" presId="urn:microsoft.com/office/officeart/2005/8/layout/hList9"/>
    <dgm:cxn modelId="{0E2A4DF1-F5B8-4893-B25F-53C203C297D6}" type="presParOf" srcId="{F2EAE468-AF0C-42D5-9BD8-3C74D7575F39}" destId="{95720DFD-29F9-4679-A152-D579E9BD7402}" srcOrd="3" destOrd="0" presId="urn:microsoft.com/office/officeart/2005/8/layout/hList9"/>
    <dgm:cxn modelId="{ED3A23F7-A2A7-4182-AE77-0871BFC51BE9}" type="presParOf" srcId="{F2EAE468-AF0C-42D5-9BD8-3C74D7575F39}" destId="{3F7F66B6-7222-4A2F-AA8F-8A7A8D0CFFDB}" srcOrd="4" destOrd="0" presId="urn:microsoft.com/office/officeart/2005/8/layout/hList9"/>
    <dgm:cxn modelId="{A084EC83-84EA-4317-93D3-E03DAE72B37C}" type="presParOf" srcId="{F2EAE468-AF0C-42D5-9BD8-3C74D7575F39}" destId="{E5487495-6701-499F-B5B0-8742CE2F39CD}" srcOrd="5" destOrd="0" presId="urn:microsoft.com/office/officeart/2005/8/layout/hList9"/>
    <dgm:cxn modelId="{ACBDDD4B-B592-49E2-AB6F-BC60C0065B3B}" type="presParOf" srcId="{F2EAE468-AF0C-42D5-9BD8-3C74D7575F39}" destId="{62A48429-E8A1-4884-BDE1-F9184A41FB73}" srcOrd="6" destOrd="0" presId="urn:microsoft.com/office/officeart/2005/8/layout/hList9"/>
    <dgm:cxn modelId="{B16FA4C6-C26A-4412-8418-48E5DB7F79DB}" type="presParOf" srcId="{62A48429-E8A1-4884-BDE1-F9184A41FB73}" destId="{02EC50F3-5F74-46E2-827A-C31B5141202A}" srcOrd="0" destOrd="0" presId="urn:microsoft.com/office/officeart/2005/8/layout/hList9"/>
    <dgm:cxn modelId="{1FC105E5-1BA4-4CC8-8F4E-FF4AD090E4C0}" type="presParOf" srcId="{62A48429-E8A1-4884-BDE1-F9184A41FB73}" destId="{71523593-218C-4B62-B8E4-4FC82B9ABD31}" srcOrd="1" destOrd="0" presId="urn:microsoft.com/office/officeart/2005/8/layout/hList9"/>
    <dgm:cxn modelId="{44F4B18A-863E-480B-AB7E-EB515718055B}" type="presParOf" srcId="{71523593-218C-4B62-B8E4-4FC82B9ABD31}" destId="{E3CD7D85-0AEA-45C5-A27D-838EB252875F}" srcOrd="0" destOrd="0" presId="urn:microsoft.com/office/officeart/2005/8/layout/hList9"/>
    <dgm:cxn modelId="{5EEF60E8-2337-408C-8E0C-C604042AA2A6}" type="presParOf" srcId="{71523593-218C-4B62-B8E4-4FC82B9ABD31}" destId="{75B1E16D-6D7E-4B4C-9511-E469EE78A79C}" srcOrd="1" destOrd="0" presId="urn:microsoft.com/office/officeart/2005/8/layout/hList9"/>
    <dgm:cxn modelId="{34D8C307-665D-48CE-83D0-5BBE1CF27773}" type="presParOf" srcId="{F2EAE468-AF0C-42D5-9BD8-3C74D7575F39}" destId="{34EB4074-5E0F-4CF8-8AE9-C09E59EB9355}" srcOrd="7" destOrd="0" presId="urn:microsoft.com/office/officeart/2005/8/layout/hList9"/>
    <dgm:cxn modelId="{855A3EF5-77F3-4D12-92F6-846E312CBA1F}" type="presParOf" srcId="{F2EAE468-AF0C-42D5-9BD8-3C74D7575F39}" destId="{7962D196-30BD-4CBB-B14D-15155CDD9764}" srcOrd="8" destOrd="0" presId="urn:microsoft.com/office/officeart/2005/8/layout/hList9"/>
    <dgm:cxn modelId="{A43B315D-B0A8-4255-8DB4-6D462E1051EC}" type="presParOf" srcId="{F2EAE468-AF0C-42D5-9BD8-3C74D7575F39}" destId="{E44B3978-77EB-4B94-960B-32C1BAF2E71E}" srcOrd="9" destOrd="0" presId="urn:microsoft.com/office/officeart/2005/8/layout/hList9"/>
    <dgm:cxn modelId="{A4B02192-F970-4B70-A2FD-885B9E1B8868}" type="presParOf" srcId="{F2EAE468-AF0C-42D5-9BD8-3C74D7575F39}" destId="{F0F5D577-B88C-45CC-A790-4F346C7D0344}" srcOrd="10" destOrd="0" presId="urn:microsoft.com/office/officeart/2005/8/layout/hList9"/>
    <dgm:cxn modelId="{D970986A-E27D-479B-B3B4-148ACABCE889}" type="presParOf" srcId="{F2EAE468-AF0C-42D5-9BD8-3C74D7575F39}" destId="{A12A98B5-07B3-4C79-AB82-5AAE3B2386C1}" srcOrd="11" destOrd="0" presId="urn:microsoft.com/office/officeart/2005/8/layout/hList9"/>
    <dgm:cxn modelId="{E02DA3EE-5096-4E9B-A79F-B86E55B86B68}" type="presParOf" srcId="{A12A98B5-07B3-4C79-AB82-5AAE3B2386C1}" destId="{20DBC4C7-1101-4F59-8AF0-8D4FEA459111}" srcOrd="0" destOrd="0" presId="urn:microsoft.com/office/officeart/2005/8/layout/hList9"/>
    <dgm:cxn modelId="{466B16F6-69BA-4ADD-B0FD-377E3BA7C0C6}" type="presParOf" srcId="{A12A98B5-07B3-4C79-AB82-5AAE3B2386C1}" destId="{479C5DBF-B325-445A-B805-486604C6FCA3}" srcOrd="1" destOrd="0" presId="urn:microsoft.com/office/officeart/2005/8/layout/hList9"/>
    <dgm:cxn modelId="{83D9EDD6-54FB-41FF-8F78-37AC2747A0E6}" type="presParOf" srcId="{479C5DBF-B325-445A-B805-486604C6FCA3}" destId="{2DD691BC-684D-4EE0-A223-BF45DAC3B5B0}" srcOrd="0" destOrd="0" presId="urn:microsoft.com/office/officeart/2005/8/layout/hList9"/>
    <dgm:cxn modelId="{A5B75656-2A92-4961-96B7-2E70FFDCABD6}" type="presParOf" srcId="{479C5DBF-B325-445A-B805-486604C6FCA3}" destId="{31162878-81B8-42CB-8999-E3B72B8CC4E0}" srcOrd="1" destOrd="0" presId="urn:microsoft.com/office/officeart/2005/8/layout/hList9"/>
    <dgm:cxn modelId="{0EA3EB9E-25B7-47C5-9CCE-B56472393210}" type="presParOf" srcId="{F2EAE468-AF0C-42D5-9BD8-3C74D7575F39}" destId="{F607BE00-C0D9-4EDD-AE10-F00C9613D7BA}" srcOrd="12" destOrd="0" presId="urn:microsoft.com/office/officeart/2005/8/layout/hList9"/>
    <dgm:cxn modelId="{1F474B4B-F74B-4A94-A90F-6DD2A99A2A05}" type="presParOf" srcId="{F2EAE468-AF0C-42D5-9BD8-3C74D7575F39}" destId="{F9B17DAB-2823-42E5-AE0B-657DB4C623BD}" srcOrd="13" destOrd="0" presId="urn:microsoft.com/office/officeart/2005/8/layout/hList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BA380B-95EF-4DDC-8971-8942EA2D061C}">
      <dsp:nvSpPr>
        <dsp:cNvPr id="0" name=""/>
        <dsp:cNvSpPr/>
      </dsp:nvSpPr>
      <dsp:spPr>
        <a:xfrm>
          <a:off x="601615" y="754504"/>
          <a:ext cx="1127149" cy="7518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en-US" sz="1400" kern="1200"/>
            <a:t>Entravision</a:t>
          </a:r>
        </a:p>
      </dsp:txBody>
      <dsp:txXfrm>
        <a:off x="781959" y="754504"/>
        <a:ext cx="946805" cy="751808"/>
      </dsp:txXfrm>
    </dsp:sp>
    <dsp:sp modelId="{95720DFD-29F9-4679-A152-D579E9BD7402}">
      <dsp:nvSpPr>
        <dsp:cNvPr id="0" name=""/>
        <dsp:cNvSpPr/>
      </dsp:nvSpPr>
      <dsp:spPr>
        <a:xfrm>
          <a:off x="468" y="453931"/>
          <a:ext cx="751433" cy="7514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Radio</a:t>
          </a:r>
        </a:p>
      </dsp:txBody>
      <dsp:txXfrm>
        <a:off x="110513" y="563976"/>
        <a:ext cx="531343" cy="531343"/>
      </dsp:txXfrm>
    </dsp:sp>
    <dsp:sp modelId="{E3CD7D85-0AEA-45C5-A27D-838EB252875F}">
      <dsp:nvSpPr>
        <dsp:cNvPr id="0" name=""/>
        <dsp:cNvSpPr/>
      </dsp:nvSpPr>
      <dsp:spPr>
        <a:xfrm>
          <a:off x="2480198" y="754504"/>
          <a:ext cx="1127149" cy="7518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en-US" sz="1400" kern="1200"/>
            <a:t>Univision</a:t>
          </a:r>
        </a:p>
      </dsp:txBody>
      <dsp:txXfrm>
        <a:off x="2660542" y="754504"/>
        <a:ext cx="946805" cy="751808"/>
      </dsp:txXfrm>
    </dsp:sp>
    <dsp:sp modelId="{7962D196-30BD-4CBB-B14D-15155CDD9764}">
      <dsp:nvSpPr>
        <dsp:cNvPr id="0" name=""/>
        <dsp:cNvSpPr/>
      </dsp:nvSpPr>
      <dsp:spPr>
        <a:xfrm>
          <a:off x="1879051" y="453931"/>
          <a:ext cx="751433" cy="7514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Cable TV</a:t>
          </a:r>
        </a:p>
      </dsp:txBody>
      <dsp:txXfrm>
        <a:off x="1989096" y="563976"/>
        <a:ext cx="531343" cy="531343"/>
      </dsp:txXfrm>
    </dsp:sp>
    <dsp:sp modelId="{2DD691BC-684D-4EE0-A223-BF45DAC3B5B0}">
      <dsp:nvSpPr>
        <dsp:cNvPr id="0" name=""/>
        <dsp:cNvSpPr/>
      </dsp:nvSpPr>
      <dsp:spPr>
        <a:xfrm>
          <a:off x="4358781" y="754504"/>
          <a:ext cx="1127149" cy="7518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99568" rIns="99568" bIns="99568" numCol="1" spcCol="1270" anchor="ctr" anchorCtr="0">
          <a:noAutofit/>
        </a:bodyPr>
        <a:lstStyle/>
        <a:p>
          <a:pPr lvl="0" algn="l" defTabSz="622300">
            <a:lnSpc>
              <a:spcPct val="90000"/>
            </a:lnSpc>
            <a:spcBef>
              <a:spcPct val="0"/>
            </a:spcBef>
            <a:spcAft>
              <a:spcPct val="35000"/>
            </a:spcAft>
          </a:pPr>
          <a:r>
            <a:rPr lang="en-US" sz="1400" kern="1200"/>
            <a:t>Telefutura</a:t>
          </a:r>
        </a:p>
      </dsp:txBody>
      <dsp:txXfrm>
        <a:off x="4539125" y="754504"/>
        <a:ext cx="946805" cy="751808"/>
      </dsp:txXfrm>
    </dsp:sp>
    <dsp:sp modelId="{F9B17DAB-2823-42E5-AE0B-657DB4C623BD}">
      <dsp:nvSpPr>
        <dsp:cNvPr id="0" name=""/>
        <dsp:cNvSpPr/>
      </dsp:nvSpPr>
      <dsp:spPr>
        <a:xfrm>
          <a:off x="3757634" y="453931"/>
          <a:ext cx="751433" cy="75143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US" sz="1000" kern="1200"/>
            <a:t>Broadcast TV</a:t>
          </a:r>
        </a:p>
      </dsp:txBody>
      <dsp:txXfrm>
        <a:off x="3867679" y="563976"/>
        <a:ext cx="531343" cy="531343"/>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F7E0551B4C49E9AA38D4C1AB14D049"/>
        <w:category>
          <w:name w:val="General"/>
          <w:gallery w:val="placeholder"/>
        </w:category>
        <w:types>
          <w:type w:val="bbPlcHdr"/>
        </w:types>
        <w:behaviors>
          <w:behavior w:val="content"/>
        </w:behaviors>
        <w:guid w:val="{81FE13C3-DEE6-4C8E-82C2-96B5DA4AECE5}"/>
      </w:docPartPr>
      <w:docPartBody>
        <w:p w:rsidR="008E733C" w:rsidRDefault="00BD1975" w:rsidP="00BD1975">
          <w:pPr>
            <w:pStyle w:val="D3F7E0551B4C49E9AA38D4C1AB14D049"/>
          </w:pPr>
          <w:r>
            <w:rPr>
              <w:rFonts w:asciiTheme="majorHAnsi" w:eastAsiaTheme="majorEastAsia" w:hAnsiTheme="majorHAnsi" w:cstheme="majorBidi"/>
              <w:sz w:val="72"/>
              <w:szCs w:val="72"/>
            </w:rPr>
            <w:t>[Type the document title]</w:t>
          </w:r>
        </w:p>
      </w:docPartBody>
    </w:docPart>
    <w:docPart>
      <w:docPartPr>
        <w:name w:val="4EE09C8C54D0422C82F0400840E9CCCD"/>
        <w:category>
          <w:name w:val="General"/>
          <w:gallery w:val="placeholder"/>
        </w:category>
        <w:types>
          <w:type w:val="bbPlcHdr"/>
        </w:types>
        <w:behaviors>
          <w:behavior w:val="content"/>
        </w:behaviors>
        <w:guid w:val="{C3B9CE4E-D384-4269-9C51-91C6523E9BB4}"/>
      </w:docPartPr>
      <w:docPartBody>
        <w:p w:rsidR="008E733C" w:rsidRDefault="00BD1975" w:rsidP="00BD1975">
          <w:pPr>
            <w:pStyle w:val="4EE09C8C54D0422C82F0400840E9CCCD"/>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D1975"/>
    <w:rsid w:val="0035456B"/>
    <w:rsid w:val="008E733C"/>
    <w:rsid w:val="00BD1975"/>
    <w:rsid w:val="00E4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F7E0551B4C49E9AA38D4C1AB14D049">
    <w:name w:val="D3F7E0551B4C49E9AA38D4C1AB14D049"/>
    <w:rsid w:val="00BD1975"/>
  </w:style>
  <w:style w:type="paragraph" w:customStyle="1" w:styleId="4EE09C8C54D0422C82F0400840E9CCCD">
    <w:name w:val="4EE09C8C54D0422C82F0400840E9CCCD"/>
    <w:rsid w:val="00BD1975"/>
  </w:style>
  <w:style w:type="paragraph" w:customStyle="1" w:styleId="EB2AD1186AA04CDC9EC06D3BC1B7CE90">
    <w:name w:val="EB2AD1186AA04CDC9EC06D3BC1B7CE90"/>
    <w:rsid w:val="00BD1975"/>
  </w:style>
  <w:style w:type="paragraph" w:customStyle="1" w:styleId="A4A0860E4426433CA42293F7ACCD6B04">
    <w:name w:val="A4A0860E4426433CA42293F7ACCD6B04"/>
    <w:rsid w:val="00BD1975"/>
  </w:style>
  <w:style w:type="paragraph" w:customStyle="1" w:styleId="709930DC5E8847A8A26EF59F2E21F0CF">
    <w:name w:val="709930DC5E8847A8A26EF59F2E21F0CF"/>
    <w:rsid w:val="00BD19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C4F5B-D8FD-41AF-BB33-E1B62310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6433</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H &amp; R Block Strategic Plan</vt:lpstr>
    </vt:vector>
  </TitlesOfParts>
  <Company>California State University-Maritime Academy</Company>
  <LinksUpToDate>false</LinksUpToDate>
  <CharactersWithSpaces>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&amp; R Block Strategic Plan</dc:title>
  <dc:subject>3035 Alamo Office</dc:subject>
  <dc:creator>By: Edward Ford, Samir Mirani, Anthony Addison, and Jeffrey Petersen</dc:creator>
  <cp:lastModifiedBy>Ed</cp:lastModifiedBy>
  <cp:revision>2</cp:revision>
  <dcterms:created xsi:type="dcterms:W3CDTF">2010-12-17T08:01:00Z</dcterms:created>
  <dcterms:modified xsi:type="dcterms:W3CDTF">2010-12-17T08:01:00Z</dcterms:modified>
</cp:coreProperties>
</file>